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5E64E9C4" w:rsidR="00EC13A2" w:rsidRPr="00DE2D47" w:rsidRDefault="00264F7E" w:rsidP="00264F7E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 w:rsidRPr="00264F7E">
        <w:rPr>
          <w:rFonts w:asciiTheme="minorBidi" w:hAnsiTheme="minorBidi"/>
          <w:sz w:val="22"/>
        </w:rPr>
        <w:t xml:space="preserve">kwiecień </w:t>
      </w:r>
      <w:r w:rsidR="00EC13A2">
        <w:rPr>
          <w:rFonts w:asciiTheme="minorBidi" w:hAnsiTheme="minorBidi"/>
          <w:sz w:val="22"/>
        </w:rPr>
        <w:t>2026</w:t>
      </w:r>
    </w:p>
    <w:p w14:paraId="43638DD9" w14:textId="77777777" w:rsidR="00575831" w:rsidRDefault="00575831" w:rsidP="00264F7E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0D56A083" w:rsidR="00DA1A6F" w:rsidRDefault="007A3C16" w:rsidP="00264F7E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Bezpieczne mocowanie detali</w:t>
      </w:r>
      <w:r>
        <w:rPr>
          <w:rFonts w:ascii="Arial" w:hAnsi="Arial"/>
          <w:sz w:val="22"/>
          <w:u w:val="single"/>
        </w:rPr>
        <w:t xml:space="preserve"> </w:t>
      </w:r>
      <w:r>
        <w:rPr>
          <w:rFonts w:ascii="Arial" w:hAnsi="Arial"/>
          <w:b/>
          <w:sz w:val="22"/>
        </w:rPr>
        <w:br/>
      </w:r>
      <w:r w:rsidRPr="00264F7E">
        <w:rPr>
          <w:rStyle w:val="Fett"/>
          <w:rFonts w:ascii="Arial" w:hAnsi="Arial"/>
          <w:bCs w:val="0"/>
          <w:sz w:val="22"/>
        </w:rPr>
        <w:t>Silne, sterowane, niezawodne</w:t>
      </w:r>
      <w:r w:rsidRPr="00264F7E">
        <w:rPr>
          <w:rFonts w:ascii="Arial" w:hAnsi="Arial"/>
          <w:b/>
          <w:sz w:val="22"/>
        </w:rPr>
        <w:t xml:space="preserve">: Elektromagnesy i stałe elektromagnesy </w:t>
      </w:r>
      <w:proofErr w:type="spellStart"/>
      <w:r w:rsidRPr="00264F7E">
        <w:rPr>
          <w:rFonts w:ascii="Arial" w:hAnsi="Arial"/>
          <w:b/>
          <w:sz w:val="22"/>
        </w:rPr>
        <w:t>norelem</w:t>
      </w:r>
      <w:proofErr w:type="spellEnd"/>
    </w:p>
    <w:p w14:paraId="4B4BC7B4" w14:textId="77777777" w:rsidR="00264F7E" w:rsidRPr="007A3C16" w:rsidRDefault="00264F7E" w:rsidP="00264F7E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629F290" w14:textId="129B9AC0" w:rsidR="00E32D7B" w:rsidRDefault="007A3C16" w:rsidP="00264F7E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rozszerza swoje portfolio o wydajne</w:t>
      </w:r>
      <w:r>
        <w:t xml:space="preserve">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elektromagnesy</w:t>
        </w:r>
      </w:hyperlink>
      <w:r>
        <w:t xml:space="preserve"> </w:t>
      </w:r>
      <w:r>
        <w:rPr>
          <w:rFonts w:ascii="Arial" w:hAnsi="Arial"/>
          <w:b/>
          <w:sz w:val="22"/>
        </w:rPr>
        <w:t>i elektromagnesy stałe do pewnego mocowania elementów ferromagnetycznych. Produkty te zostały zaprojektowane do zastosowań, w których wymagane są duże siły przytrzymujące, precyzyjna kontrola i bezpieczeństwo eksploatacji – od automatyzacji po technikę bezpieczeństwa.</w:t>
      </w:r>
    </w:p>
    <w:p w14:paraId="6AC5550D" w14:textId="77777777" w:rsidR="00264F7E" w:rsidRDefault="00264F7E" w:rsidP="00264F7E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8A8C17E" w14:textId="46C480D7" w:rsidR="005545AF" w:rsidRDefault="00E32D7B" w:rsidP="00264F7E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Elektromagnesy i elektromagnesy stałe mają takie samo zadanie, różnią się jednak pod względem zużycia energii i sposobu przytrzymania. </w:t>
      </w:r>
      <w:r>
        <w:rPr>
          <w:rFonts w:ascii="Arial" w:hAnsi="Arial"/>
          <w:sz w:val="22"/>
        </w:rPr>
        <w:br/>
        <w:t xml:space="preserve">Elektromagnesy wytwarzają pole magnetyczne dzięki ciągłemu stałemu prądowi, co pozwala szybko regulować siłę przytrzymania i stan przełączenia. Przytrzymują bardzo mocno, ale natychmiast puszczają po odłączeniu zasilania. </w:t>
      </w:r>
      <w:r>
        <w:rPr>
          <w:rFonts w:ascii="Arial" w:hAnsi="Arial"/>
          <w:sz w:val="22"/>
        </w:rPr>
        <w:br/>
        <w:t>Elektromagnesy stałe przytrzymują bez stałego zasilania i potrzebują energii do neutralizacji lub zwiększenia pola magnetycznego. Nawet przy zaniku zasilania mają bezpieczną przyczepność, dlatego są szczególnie odpowiednie do zastosowań wymagających ciągłego przytrzymania.</w:t>
      </w:r>
    </w:p>
    <w:p w14:paraId="16D38181" w14:textId="77777777" w:rsidR="00264F7E" w:rsidRPr="005545AF" w:rsidRDefault="00264F7E" w:rsidP="00264F7E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39926DB" w14:textId="54C2D5CF" w:rsidR="005545AF" w:rsidRDefault="00134C03" w:rsidP="00264F7E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Mocne i sterowane – energooszczędne i bezpieczne</w:t>
      </w:r>
      <w:r>
        <w:rPr>
          <w:rFonts w:ascii="Arial" w:hAnsi="Arial"/>
          <w:sz w:val="22"/>
        </w:rPr>
        <w:br/>
        <w:t xml:space="preserve">W nowej kategorii produktów „Elektromagnesy” firma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oferuje cztery rodziny produktów, każdą w wersji okrągłej i prostokątnej:</w:t>
      </w:r>
    </w:p>
    <w:p w14:paraId="0870A9D3" w14:textId="77777777" w:rsidR="00264F7E" w:rsidRPr="007A3C16" w:rsidRDefault="00264F7E" w:rsidP="00264F7E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65747AE5" w14:textId="2E9120E2" w:rsidR="005545AF" w:rsidRDefault="0005069C" w:rsidP="00264F7E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8" w:history="1">
        <w:r>
          <w:rPr>
            <w:rStyle w:val="Hyperlink"/>
            <w:rFonts w:ascii="Arial" w:hAnsi="Arial"/>
            <w:sz w:val="22"/>
          </w:rPr>
          <w:t>E</w:t>
        </w:r>
        <w:r w:rsidR="005545AF">
          <w:rPr>
            <w:rStyle w:val="Hyperlink"/>
            <w:rFonts w:ascii="Arial" w:hAnsi="Arial"/>
            <w:sz w:val="22"/>
          </w:rPr>
          <w:t>lektromagnesy okrągłe</w:t>
        </w:r>
      </w:hyperlink>
      <w:r w:rsidR="005545AF">
        <w:rPr>
          <w:rStyle w:val="Fett"/>
          <w:rFonts w:ascii="Arial" w:hAnsi="Arial"/>
          <w:b w:val="0"/>
          <w:sz w:val="22"/>
        </w:rPr>
        <w:t xml:space="preserve"> o średnicy</w:t>
      </w:r>
      <w:r w:rsidR="005545AF">
        <w:rPr>
          <w:rStyle w:val="Fett"/>
          <w:rFonts w:ascii="Arial" w:hAnsi="Arial"/>
          <w:sz w:val="22"/>
        </w:rPr>
        <w:t xml:space="preserve"> </w:t>
      </w:r>
      <w:r w:rsidR="005545AF">
        <w:rPr>
          <w:rFonts w:ascii="Arial" w:hAnsi="Arial"/>
          <w:sz w:val="22"/>
        </w:rPr>
        <w:t>10-250 mm, 24 V (12 V na zapytanie) i sile przytrzymywania 3-30 000 N</w:t>
      </w:r>
    </w:p>
    <w:p w14:paraId="409B8D24" w14:textId="7D0BFDDB" w:rsidR="005545AF" w:rsidRDefault="005545AF" w:rsidP="00264F7E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9" w:history="1">
        <w:r>
          <w:rPr>
            <w:rStyle w:val="Hyperlink"/>
            <w:rFonts w:ascii="Arial" w:hAnsi="Arial"/>
            <w:sz w:val="22"/>
          </w:rPr>
          <w:t>Elektromagnesy prostokątne</w:t>
        </w:r>
      </w:hyperlink>
      <w:r>
        <w:rPr>
          <w:rFonts w:ascii="Arial" w:hAnsi="Arial"/>
          <w:sz w:val="22"/>
        </w:rPr>
        <w:t>, długość 100-800 mm, z 24 V i siłą przytrzymania 850-10 600 N</w:t>
      </w:r>
    </w:p>
    <w:p w14:paraId="2A8271C6" w14:textId="6429FFF1" w:rsidR="005545AF" w:rsidRDefault="005545AF" w:rsidP="00264F7E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0" w:history="1">
        <w:r>
          <w:rPr>
            <w:rStyle w:val="Hyperlink"/>
            <w:rFonts w:ascii="Arial" w:hAnsi="Arial"/>
            <w:sz w:val="22"/>
          </w:rPr>
          <w:t>Elektromagnesy stałe okrągłe</w:t>
        </w:r>
      </w:hyperlink>
      <w:r>
        <w:rPr>
          <w:rStyle w:val="Fett"/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 xml:space="preserve"> o średnicy 10-150 mm, z 24 V (12 V na zapytanie) i sile przytrzymywania 3-5000 N</w:t>
      </w:r>
    </w:p>
    <w:p w14:paraId="69538EA5" w14:textId="49986539" w:rsidR="005545AF" w:rsidRPr="00264F7E" w:rsidRDefault="005545AF" w:rsidP="00264F7E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1" w:history="1">
        <w:r>
          <w:rPr>
            <w:rStyle w:val="Hyperlink"/>
            <w:rFonts w:ascii="Arial" w:hAnsi="Arial"/>
            <w:sz w:val="22"/>
          </w:rPr>
          <w:t>Stałe elektromagnesy prostokątne</w:t>
        </w:r>
      </w:hyperlink>
      <w:r>
        <w:rPr>
          <w:rStyle w:val="Fett"/>
          <w:rFonts w:ascii="Arial" w:hAnsi="Arial"/>
          <w:b w:val="0"/>
          <w:sz w:val="22"/>
        </w:rPr>
        <w:t>,</w:t>
      </w:r>
      <w:r>
        <w:rPr>
          <w:rFonts w:ascii="Arial" w:hAnsi="Arial"/>
          <w:sz w:val="22"/>
        </w:rPr>
        <w:t xml:space="preserve"> długość 100-500 mm, z 24 V i siłą przytrzymania 950-7500 N</w:t>
      </w:r>
    </w:p>
    <w:p w14:paraId="7243A226" w14:textId="77777777" w:rsidR="00264F7E" w:rsidRPr="005919A3" w:rsidRDefault="00264F7E" w:rsidP="00264F7E">
      <w:pPr>
        <w:pStyle w:val="StandardWeb"/>
        <w:spacing w:before="0" w:beforeAutospacing="0" w:after="0" w:afterAutospacing="0" w:line="276" w:lineRule="auto"/>
        <w:ind w:left="1440"/>
        <w:rPr>
          <w:rFonts w:ascii="Arial" w:hAnsi="Arial" w:cs="Arial"/>
          <w:sz w:val="22"/>
          <w:szCs w:val="22"/>
        </w:rPr>
      </w:pPr>
    </w:p>
    <w:p w14:paraId="202BAEDA" w14:textId="6A284764" w:rsidR="00C67670" w:rsidRPr="00264F7E" w:rsidRDefault="005545AF" w:rsidP="00264F7E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Mocowanie odbywa się za pomocą gwintowanych otworów z tyłu. Podłączenie elektryczne w wersjach okrągłych realizowane jest za pomocą wolnych przewodów, natomiast w wersjach prostokątnych przez wtyczki wg EN 175301-803 (dawniej DIN 43650).</w:t>
      </w:r>
      <w:r>
        <w:rPr>
          <w:rFonts w:ascii="Arial" w:hAnsi="Arial"/>
          <w:b/>
          <w:color w:val="000000" w:themeColor="text1"/>
          <w:sz w:val="22"/>
          <w:highlight w:val="yellow"/>
        </w:rPr>
        <w:br/>
      </w:r>
      <w:r>
        <w:rPr>
          <w:rFonts w:ascii="Arial" w:hAnsi="Arial"/>
          <w:b/>
          <w:color w:val="000000" w:themeColor="text1"/>
          <w:sz w:val="22"/>
        </w:rPr>
        <w:br/>
      </w:r>
      <w:r>
        <w:rPr>
          <w:rFonts w:ascii="Arial" w:hAnsi="Arial"/>
          <w:sz w:val="22"/>
        </w:rPr>
        <w:t xml:space="preserve">Typowe obszary zastosowań to zamki magnetyczne w technice bezpieczeństwa, transport materiałów w segmencie budowy maszyn oraz rozwiązania chwytakowe w automatyce. Karta charakterystyki jest dostępna w sklepie internetowym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t>.</w:t>
      </w:r>
    </w:p>
    <w:p w14:paraId="2F2F81CC" w14:textId="77777777" w:rsidR="00264F7E" w:rsidRPr="00940A55" w:rsidRDefault="00264F7E" w:rsidP="00264F7E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39B71B0B" w14:textId="0DE1B8D5" w:rsidR="00B2136A" w:rsidRPr="007A3C16" w:rsidRDefault="00B2136A" w:rsidP="00264F7E">
      <w:pPr>
        <w:pStyle w:val="StandardWeb"/>
        <w:spacing w:before="0" w:beforeAutospacing="0" w:after="0" w:afterAutospacing="0" w:line="276" w:lineRule="auto"/>
      </w:pPr>
      <w:r>
        <w:rPr>
          <w:rFonts w:asciiTheme="minorBidi" w:hAnsiTheme="minorBidi"/>
          <w:sz w:val="22"/>
        </w:rPr>
        <w:t>(</w:t>
      </w:r>
      <w:r w:rsidR="00264F7E">
        <w:rPr>
          <w:rFonts w:asciiTheme="minorBidi" w:hAnsiTheme="minorBidi"/>
          <w:sz w:val="22"/>
        </w:rPr>
        <w:t>20</w:t>
      </w:r>
      <w:r w:rsidR="00A469C3">
        <w:rPr>
          <w:rFonts w:asciiTheme="minorBidi" w:hAnsiTheme="minorBidi"/>
          <w:sz w:val="22"/>
        </w:rPr>
        <w:t>11</w:t>
      </w:r>
      <w:r>
        <w:rPr>
          <w:rFonts w:asciiTheme="minorBidi" w:hAnsiTheme="minorBidi"/>
          <w:sz w:val="22"/>
        </w:rPr>
        <w:t xml:space="preserve"> znaków ze spacjami)</w:t>
      </w:r>
    </w:p>
    <w:p w14:paraId="6CA584E9" w14:textId="77777777" w:rsidR="00D345AC" w:rsidRPr="00DE2D47" w:rsidRDefault="00D345AC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264F7E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 xml:space="preserve">Skrócony profil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</w:t>
      </w:r>
    </w:p>
    <w:p w14:paraId="3A90FE54" w14:textId="389987A6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Każdy sukces zaczyna się od pomysłu. Dlatego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wspomaga konstruktorów i techników w budowie maszyn i urządze</w:t>
      </w:r>
      <w:r w:rsidR="00647466">
        <w:rPr>
          <w:rFonts w:asciiTheme="minorBidi" w:hAnsiTheme="minorBidi"/>
          <w:sz w:val="22"/>
        </w:rPr>
        <w:t>ń</w:t>
      </w:r>
      <w:r>
        <w:rPr>
          <w:rFonts w:asciiTheme="minorBidi" w:hAnsiTheme="minorBidi"/>
          <w:sz w:val="22"/>
        </w:rPr>
        <w:t xml:space="preserve"> ze standardowymi elementami w realizacji ich celów.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Właściwy wybór do rozwiązania konstrukcyjnego z ponad 140 000 części standardowych i obsługowych dostępny jest w naszym prostym i przejrzystym sklepie internetowym, zapewniającym wiele korzyści. Większa wiedza, lepsze i szybsze wyszukiwanie, a tym samym uzyskiwanie lepszych rozwiązań.</w:t>
      </w:r>
    </w:p>
    <w:p w14:paraId="6779B90D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W ten sposób zyskuje się czas, pracuje efektywniej i optymalizuje się koszty procesów. Komponenty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są dostępne natychmiast, wraz z bezpłatnymi danymi CAD do szybszej konstrukcji bez rysunków lub konfiguracji. Idealne wyniki z mniejszym nakładem czasowym i kosztowym. Zaleta: część standardowa. </w:t>
      </w:r>
    </w:p>
    <w:p w14:paraId="46D1CD63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Jako uznany znawca branży angażujemy się poprzez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we wsparcie narybku. Aby konstruktorzy przyszłości mogli szybko wystartować.</w:t>
      </w:r>
    </w:p>
    <w:p w14:paraId="028F1547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Ponadto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zapewnia szkolenia techniczne, seminaria i szkolenia produktowe.</w:t>
      </w:r>
    </w:p>
    <w:p w14:paraId="463003F5" w14:textId="77777777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6E02348E" w:rsidR="00B2136A" w:rsidRPr="00DE2D47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(Znaki ze spacjami: </w:t>
      </w:r>
      <w:r w:rsidR="00264F7E">
        <w:rPr>
          <w:rFonts w:asciiTheme="minorBidi" w:hAnsiTheme="minorBidi"/>
          <w:sz w:val="22"/>
        </w:rPr>
        <w:t>98</w:t>
      </w:r>
      <w:r w:rsidR="00A469C3">
        <w:rPr>
          <w:rFonts w:asciiTheme="minorBidi" w:hAnsiTheme="minorBidi"/>
          <w:sz w:val="22"/>
        </w:rPr>
        <w:t>3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EA0067" w:rsidR="003C033B" w:rsidRPr="00DE2D47" w:rsidRDefault="00B43D3F" w:rsidP="00264F7E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Zdjęcie:</w:t>
      </w:r>
    </w:p>
    <w:p w14:paraId="708B7E05" w14:textId="24197451" w:rsidR="003C033B" w:rsidRDefault="00D41354" w:rsidP="00264F7E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DB152EC" wp14:editId="6587C76C">
            <wp:extent cx="3811455" cy="2750227"/>
            <wp:effectExtent l="0" t="0" r="0" b="5715"/>
            <wp:docPr id="4276228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22878" name="Grafik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455" cy="275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98EF" w14:textId="78E4F5ED" w:rsidR="009C502B" w:rsidRPr="00E944FD" w:rsidRDefault="00811F5B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Typowy obszar zastosowania elektromagnesów to rozwiązania chwytakowe w automatyzacji. </w:t>
      </w:r>
    </w:p>
    <w:p w14:paraId="2C67788C" w14:textId="1C6C1F93" w:rsidR="006415A1" w:rsidRPr="00E34695" w:rsidRDefault="006415A1" w:rsidP="00264F7E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Rys.: </w:t>
      </w:r>
      <w:proofErr w:type="spellStart"/>
      <w:r>
        <w:rPr>
          <w:rFonts w:asciiTheme="minorBidi" w:hAnsiTheme="minorBidi"/>
          <w:i/>
          <w:sz w:val="22"/>
        </w:rPr>
        <w:t>norelem</w:t>
      </w:r>
      <w:proofErr w:type="spellEnd"/>
      <w:r>
        <w:rPr>
          <w:rFonts w:asciiTheme="minorBidi" w:hAnsiTheme="minorBidi"/>
          <w:i/>
          <w:sz w:val="22"/>
        </w:rPr>
        <w:t xml:space="preserve">, </w:t>
      </w:r>
      <w:proofErr w:type="spellStart"/>
      <w:r>
        <w:rPr>
          <w:rFonts w:asciiTheme="minorBidi" w:hAnsiTheme="minorBidi"/>
          <w:i/>
          <w:sz w:val="22"/>
        </w:rPr>
        <w:t>AdobeStock</w:t>
      </w:r>
      <w:proofErr w:type="spellEnd"/>
      <w:r>
        <w:rPr>
          <w:rFonts w:asciiTheme="minorBidi" w:hAnsiTheme="minorBidi"/>
          <w:i/>
          <w:sz w:val="22"/>
        </w:rPr>
        <w:t xml:space="preserve"> </w:t>
      </w:r>
      <w:proofErr w:type="spellStart"/>
      <w:r>
        <w:rPr>
          <w:rFonts w:asciiTheme="minorBidi" w:hAnsiTheme="minorBidi"/>
          <w:i/>
          <w:sz w:val="22"/>
        </w:rPr>
        <w:t>Mimi</w:t>
      </w:r>
      <w:proofErr w:type="spellEnd"/>
      <w:r>
        <w:rPr>
          <w:rFonts w:asciiTheme="minorBidi" w:hAnsiTheme="minorBidi"/>
          <w:i/>
          <w:sz w:val="22"/>
        </w:rPr>
        <w:t>/</w:t>
      </w:r>
      <w:r>
        <w:rPr>
          <w:rFonts w:ascii="Arial" w:hAnsi="Arial"/>
          <w:i/>
          <w:sz w:val="22"/>
        </w:rPr>
        <w:t>1564663817</w:t>
      </w:r>
    </w:p>
    <w:p w14:paraId="5B5D0A49" w14:textId="77777777" w:rsidR="006415A1" w:rsidRDefault="006415A1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22E15E3" w14:textId="5EDE52FF" w:rsidR="00811F5B" w:rsidRDefault="00811F5B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063019E6" w:rsidR="00B2136A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lastRenderedPageBreak/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elektromagnesy, elektromagnesy stałe, mocowanie elementów, siła przytrzymania, impulsowe sterowanie, technika bezpieczeństwa, transport materiałów, automatyzacja</w:t>
      </w:r>
    </w:p>
    <w:p w14:paraId="0BB6D5DA" w14:textId="77777777" w:rsidR="00D06101" w:rsidRDefault="00D06101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6D7BE49" w14:textId="77777777" w:rsidR="00264F7E" w:rsidRPr="00DE2D47" w:rsidRDefault="00264F7E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768C6AEC" w:rsidR="00B2136A" w:rsidRPr="00647466" w:rsidRDefault="00B2136A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  <w:proofErr w:type="spellStart"/>
      <w:r w:rsidRPr="00647466">
        <w:rPr>
          <w:rFonts w:asciiTheme="minorBidi" w:hAnsiTheme="minorBidi"/>
          <w:b/>
          <w:sz w:val="22"/>
          <w:lang w:val="nl-NL"/>
        </w:rPr>
        <w:t>Deeplinks</w:t>
      </w:r>
      <w:proofErr w:type="spellEnd"/>
      <w:r w:rsidRPr="00647466">
        <w:rPr>
          <w:rFonts w:asciiTheme="minorBidi" w:hAnsiTheme="minorBidi"/>
          <w:b/>
          <w:sz w:val="22"/>
          <w:lang w:val="nl-NL"/>
        </w:rPr>
        <w:t xml:space="preserve">: </w:t>
      </w:r>
    </w:p>
    <w:p w14:paraId="051FC704" w14:textId="2AD29758" w:rsidR="001502CF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3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https://www.norelem.pl/pl/Product-overview/Flexible-standard-component-system/09000/Electromagnets/c/35948</w:t>
        </w:r>
      </w:hyperlink>
    </w:p>
    <w:p w14:paraId="2FAF498B" w14:textId="72AFC0DB" w:rsidR="00264F7E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4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https://www.norelem.pl/pl/Product-overview/Flexible-standard-component-system/09000/Electromagnets/Magnets-round-electromagnets/p/agid.36216</w:t>
        </w:r>
      </w:hyperlink>
    </w:p>
    <w:p w14:paraId="01BE8A70" w14:textId="48BA2E13" w:rsidR="00264F7E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5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https://www.norelem.pl/pl/Product-overview/Flexible-standard-component-system/09000/Electromagnets/Magnets-rectangular-electromagnets/p/agid.36214</w:t>
        </w:r>
      </w:hyperlink>
    </w:p>
    <w:p w14:paraId="2BE12AE5" w14:textId="59E638DA" w:rsidR="00264F7E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6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https://www.norelem.pl/pl/Product-overview/Flexible-standard-component-system/09000/Electromagnets/Magnets-round-permanent-electromagnets/p/agid.36220</w:t>
        </w:r>
      </w:hyperlink>
    </w:p>
    <w:p w14:paraId="32190104" w14:textId="43423E52" w:rsidR="00264F7E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7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https://www.norelem.pl/pl/Product-overview/Flexible-standard-component-system/09000/Electromagnets/Magnets-rectangular-permanent-electromagnets/p/agid.36215</w:t>
        </w:r>
      </w:hyperlink>
    </w:p>
    <w:p w14:paraId="10F06037" w14:textId="77777777" w:rsidR="00264F7E" w:rsidRPr="00264F7E" w:rsidRDefault="00264F7E" w:rsidP="00264F7E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</w:p>
    <w:p w14:paraId="4BE2AF99" w14:textId="77777777" w:rsidR="00264F7E" w:rsidRPr="00D345AC" w:rsidRDefault="00264F7E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914052C" w14:textId="7E40DA52" w:rsidR="00AC3CC4" w:rsidRPr="001A5703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Silne, sterowane, niezawodne</w:t>
      </w:r>
      <w:r>
        <w:rPr>
          <w:rFonts w:ascii="Arial" w:hAnsi="Arial"/>
          <w:sz w:val="22"/>
        </w:rPr>
        <w:t xml:space="preserve">: Elektromagnesy i stałe elektromagnesy </w:t>
      </w:r>
      <w:proofErr w:type="spellStart"/>
      <w:r>
        <w:rPr>
          <w:rFonts w:ascii="Arial" w:hAnsi="Arial"/>
          <w:sz w:val="22"/>
        </w:rPr>
        <w:t>norelem</w:t>
      </w:r>
      <w:proofErr w:type="spellEnd"/>
    </w:p>
    <w:p w14:paraId="0C90E79F" w14:textId="37DDF480" w:rsidR="00401840" w:rsidRPr="005C48EA" w:rsidRDefault="00B2136A" w:rsidP="00264F7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rozszerza swoje portfolio o wydajne elektromagnesy i elektromagnesy stałe do pewnego mocowania elementów ferromagnetycznych</w:t>
      </w:r>
    </w:p>
    <w:p w14:paraId="72ABE953" w14:textId="77777777" w:rsidR="00B2136A" w:rsidRDefault="00B2136A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869CC8E" w14:textId="77777777" w:rsidR="00264F7E" w:rsidRPr="00DE2D47" w:rsidRDefault="00264F7E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647466" w:rsidRDefault="00B2136A" w:rsidP="00264F7E">
      <w:pPr>
        <w:spacing w:line="276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647466">
        <w:rPr>
          <w:rFonts w:asciiTheme="minorBidi" w:hAnsiTheme="minorBidi"/>
          <w:b/>
          <w:sz w:val="22"/>
          <w:lang w:val="en-US"/>
        </w:rPr>
        <w:t xml:space="preserve">Download-Area: </w:t>
      </w:r>
      <w:hyperlink r:id="rId18" w:history="1">
        <w:r w:rsidRPr="00647466">
          <w:rPr>
            <w:rStyle w:val="Hyperlink"/>
            <w:rFonts w:asciiTheme="minorBidi" w:hAnsiTheme="minorBidi"/>
            <w:color w:val="auto"/>
            <w:sz w:val="22"/>
            <w:lang w:val="en-US"/>
          </w:rPr>
          <w:t>http://www.koehler-partner.de/project/norelem-presseservice/</w:t>
        </w:r>
      </w:hyperlink>
      <w:r w:rsidRPr="00647466">
        <w:rPr>
          <w:rFonts w:asciiTheme="minorBidi" w:hAnsiTheme="minorBidi"/>
          <w:sz w:val="22"/>
          <w:lang w:val="en-US"/>
        </w:rPr>
        <w:t xml:space="preserve"> </w:t>
      </w:r>
    </w:p>
    <w:p w14:paraId="502A2C02" w14:textId="77777777" w:rsidR="00B2136A" w:rsidRDefault="00B2136A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197A16E6" w14:textId="77777777" w:rsidR="00264F7E" w:rsidRPr="00DE2D47" w:rsidRDefault="00264F7E" w:rsidP="00264F7E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17F7814" w14:textId="77777777" w:rsidR="00264F7E" w:rsidRPr="001473AA" w:rsidRDefault="00264F7E" w:rsidP="00264F7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>Firma:</w:t>
      </w:r>
    </w:p>
    <w:p w14:paraId="522E814A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1473AA">
        <w:rPr>
          <w:rFonts w:ascii="Arial" w:hAnsi="Arial" w:cs="Arial"/>
          <w:color w:val="000000" w:themeColor="text1"/>
          <w:sz w:val="22"/>
          <w:szCs w:val="22"/>
        </w:rPr>
        <w:t>norelem</w:t>
      </w:r>
      <w:proofErr w:type="spellEnd"/>
      <w:r w:rsidRPr="001473AA">
        <w:rPr>
          <w:rFonts w:ascii="Arial" w:hAnsi="Arial" w:cs="Arial"/>
          <w:color w:val="000000" w:themeColor="text1"/>
          <w:sz w:val="22"/>
          <w:szCs w:val="22"/>
        </w:rPr>
        <w:t xml:space="preserve"> SP. Z O.O.</w:t>
      </w:r>
    </w:p>
    <w:p w14:paraId="5D22CE8B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ul. Myśliborska 22</w:t>
      </w:r>
    </w:p>
    <w:p w14:paraId="1B5AA275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66-400 Gorzów Wielkopolski</w:t>
      </w:r>
    </w:p>
    <w:p w14:paraId="7F1734EC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Tel.: +48 (0) 572 895 704</w:t>
      </w:r>
    </w:p>
    <w:p w14:paraId="38563A72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9" w:history="1">
        <w:r w:rsidRPr="001473AA">
          <w:rPr>
            <w:rStyle w:val="Hyperlink"/>
            <w:rFonts w:ascii="Arial" w:hAnsi="Arial" w:cs="Arial"/>
            <w:sz w:val="22"/>
            <w:szCs w:val="22"/>
          </w:rPr>
          <w:t>info@norelem.pl</w:t>
        </w:r>
      </w:hyperlink>
    </w:p>
    <w:p w14:paraId="5F0CF2DE" w14:textId="77777777" w:rsidR="00264F7E" w:rsidRPr="001473AA" w:rsidRDefault="00264F7E" w:rsidP="00264F7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20" w:history="1">
        <w:r w:rsidRPr="001473AA">
          <w:rPr>
            <w:rStyle w:val="Hyperlink"/>
            <w:rFonts w:ascii="Arial" w:hAnsi="Arial" w:cs="Arial"/>
            <w:sz w:val="22"/>
            <w:szCs w:val="22"/>
          </w:rPr>
          <w:t>www.norelem.pl</w:t>
        </w:r>
      </w:hyperlink>
    </w:p>
    <w:p w14:paraId="0ECE051E" w14:textId="77777777" w:rsidR="00264F7E" w:rsidRPr="001473AA" w:rsidRDefault="00264F7E" w:rsidP="00264F7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0A71AE8" w14:textId="77777777" w:rsidR="00264F7E" w:rsidRPr="001473AA" w:rsidRDefault="00264F7E" w:rsidP="00264F7E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 xml:space="preserve">Biuro prasowe: </w:t>
      </w:r>
    </w:p>
    <w:p w14:paraId="75BFE2F0" w14:textId="77777777" w:rsidR="00264F7E" w:rsidRPr="001473AA" w:rsidRDefault="00264F7E" w:rsidP="00264F7E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>Köhler + Partner GmbH</w:t>
      </w:r>
    </w:p>
    <w:p w14:paraId="5D71F4EA" w14:textId="77777777" w:rsidR="00264F7E" w:rsidRPr="001473AA" w:rsidRDefault="00264F7E" w:rsidP="00264F7E">
      <w:p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1473AA">
        <w:rPr>
          <w:rFonts w:ascii="Arial" w:hAnsi="Arial" w:cs="Arial"/>
          <w:sz w:val="22"/>
          <w:szCs w:val="22"/>
        </w:rPr>
        <w:t>Brauerstraße</w:t>
      </w:r>
      <w:proofErr w:type="spellEnd"/>
      <w:r w:rsidRPr="001473AA">
        <w:rPr>
          <w:rFonts w:ascii="Arial" w:hAnsi="Arial" w:cs="Arial"/>
          <w:sz w:val="22"/>
          <w:szCs w:val="22"/>
        </w:rPr>
        <w:t xml:space="preserve"> 42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</w:rPr>
        <w:t xml:space="preserve"> 21244 Buchholz </w:t>
      </w:r>
      <w:proofErr w:type="spellStart"/>
      <w:r w:rsidRPr="001473AA">
        <w:rPr>
          <w:rFonts w:ascii="Arial" w:hAnsi="Arial" w:cs="Arial"/>
          <w:sz w:val="22"/>
          <w:szCs w:val="22"/>
        </w:rPr>
        <w:t>i.d.N</w:t>
      </w:r>
      <w:proofErr w:type="spellEnd"/>
      <w:r w:rsidRPr="001473AA">
        <w:rPr>
          <w:rFonts w:ascii="Arial" w:hAnsi="Arial" w:cs="Arial"/>
          <w:sz w:val="22"/>
          <w:szCs w:val="22"/>
        </w:rPr>
        <w:t>.</w:t>
      </w:r>
    </w:p>
    <w:p w14:paraId="77CDAC37" w14:textId="77777777" w:rsidR="00264F7E" w:rsidRPr="001473AA" w:rsidRDefault="00264F7E" w:rsidP="00264F7E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Telefon +49 (0) 4181 92892-0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Faks +49 (0) 4181 92892-55</w:t>
      </w:r>
    </w:p>
    <w:p w14:paraId="2854B9CF" w14:textId="77777777" w:rsidR="00264F7E" w:rsidRPr="001473AA" w:rsidRDefault="00264F7E" w:rsidP="00264F7E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rl@koehler-partner.de </w:t>
      </w:r>
      <w:r w:rsidRPr="001473AA">
        <w:rPr>
          <w:rFonts w:ascii="Arial" w:hAnsi="Arial" w:cs="Arial"/>
          <w:sz w:val="22"/>
          <w:szCs w:val="22"/>
        </w:rPr>
        <w:sym w:font="Symbol" w:char="F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p w14:paraId="1D9AE8C6" w14:textId="3D27F8C5" w:rsidR="00EC13A2" w:rsidRPr="00647466" w:rsidRDefault="00EC13A2" w:rsidP="00264F7E">
      <w:pPr>
        <w:spacing w:line="276" w:lineRule="auto"/>
        <w:rPr>
          <w:rFonts w:asciiTheme="minorBidi" w:hAnsiTheme="minorBidi" w:cstheme="minorBidi"/>
          <w:sz w:val="22"/>
          <w:szCs w:val="22"/>
          <w:lang w:val="sv-SE"/>
        </w:rPr>
      </w:pPr>
    </w:p>
    <w:sectPr w:rsidR="00EC13A2" w:rsidRPr="00647466">
      <w:headerReference w:type="defaul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50BD" w14:textId="77777777" w:rsidR="0033748A" w:rsidRDefault="0033748A" w:rsidP="00EC13A2">
      <w:r>
        <w:separator/>
      </w:r>
    </w:p>
  </w:endnote>
  <w:endnote w:type="continuationSeparator" w:id="0">
    <w:p w14:paraId="6A100E62" w14:textId="77777777" w:rsidR="0033748A" w:rsidRDefault="0033748A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EF8F" w14:textId="77777777" w:rsidR="0033748A" w:rsidRDefault="0033748A" w:rsidP="00EC13A2">
      <w:r>
        <w:separator/>
      </w:r>
    </w:p>
  </w:footnote>
  <w:footnote w:type="continuationSeparator" w:id="0">
    <w:p w14:paraId="51810992" w14:textId="77777777" w:rsidR="0033748A" w:rsidRDefault="0033748A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Informacja prasowa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2301B"/>
    <w:multiLevelType w:val="hybridMultilevel"/>
    <w:tmpl w:val="4D1C86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6"/>
  </w:num>
  <w:num w:numId="2" w16cid:durableId="716468183">
    <w:abstractNumId w:val="20"/>
  </w:num>
  <w:num w:numId="3" w16cid:durableId="881792999">
    <w:abstractNumId w:val="10"/>
  </w:num>
  <w:num w:numId="4" w16cid:durableId="1859781327">
    <w:abstractNumId w:val="2"/>
  </w:num>
  <w:num w:numId="5" w16cid:durableId="1183124925">
    <w:abstractNumId w:val="9"/>
  </w:num>
  <w:num w:numId="6" w16cid:durableId="184683576">
    <w:abstractNumId w:val="27"/>
  </w:num>
  <w:num w:numId="7" w16cid:durableId="1841583487">
    <w:abstractNumId w:val="11"/>
  </w:num>
  <w:num w:numId="8" w16cid:durableId="1218511680">
    <w:abstractNumId w:val="28"/>
  </w:num>
  <w:num w:numId="9" w16cid:durableId="1200433222">
    <w:abstractNumId w:val="23"/>
  </w:num>
  <w:num w:numId="10" w16cid:durableId="67509448">
    <w:abstractNumId w:val="12"/>
  </w:num>
  <w:num w:numId="11" w16cid:durableId="1118912443">
    <w:abstractNumId w:val="21"/>
  </w:num>
  <w:num w:numId="12" w16cid:durableId="1702584228">
    <w:abstractNumId w:val="6"/>
  </w:num>
  <w:num w:numId="13" w16cid:durableId="1990788370">
    <w:abstractNumId w:val="5"/>
  </w:num>
  <w:num w:numId="14" w16cid:durableId="171839987">
    <w:abstractNumId w:val="1"/>
  </w:num>
  <w:num w:numId="15" w16cid:durableId="119080041">
    <w:abstractNumId w:val="19"/>
  </w:num>
  <w:num w:numId="16" w16cid:durableId="632053995">
    <w:abstractNumId w:val="14"/>
  </w:num>
  <w:num w:numId="17" w16cid:durableId="1492259565">
    <w:abstractNumId w:val="24"/>
  </w:num>
  <w:num w:numId="18" w16cid:durableId="1353923467">
    <w:abstractNumId w:val="17"/>
  </w:num>
  <w:num w:numId="19" w16cid:durableId="1626932282">
    <w:abstractNumId w:val="22"/>
  </w:num>
  <w:num w:numId="20" w16cid:durableId="2141723239">
    <w:abstractNumId w:val="18"/>
  </w:num>
  <w:num w:numId="21" w16cid:durableId="859245005">
    <w:abstractNumId w:val="32"/>
  </w:num>
  <w:num w:numId="22" w16cid:durableId="1467623200">
    <w:abstractNumId w:val="26"/>
  </w:num>
  <w:num w:numId="23" w16cid:durableId="1709641121">
    <w:abstractNumId w:val="7"/>
  </w:num>
  <w:num w:numId="24" w16cid:durableId="1894150629">
    <w:abstractNumId w:val="13"/>
  </w:num>
  <w:num w:numId="25" w16cid:durableId="1991051666">
    <w:abstractNumId w:val="31"/>
  </w:num>
  <w:num w:numId="26" w16cid:durableId="482623514">
    <w:abstractNumId w:val="4"/>
  </w:num>
  <w:num w:numId="27" w16cid:durableId="2123842138">
    <w:abstractNumId w:val="29"/>
  </w:num>
  <w:num w:numId="28" w16cid:durableId="1689676130">
    <w:abstractNumId w:val="15"/>
  </w:num>
  <w:num w:numId="29" w16cid:durableId="1763456677">
    <w:abstractNumId w:val="0"/>
  </w:num>
  <w:num w:numId="30" w16cid:durableId="1808934918">
    <w:abstractNumId w:val="3"/>
  </w:num>
  <w:num w:numId="31" w16cid:durableId="998116741">
    <w:abstractNumId w:val="8"/>
  </w:num>
  <w:num w:numId="32" w16cid:durableId="1931886788">
    <w:abstractNumId w:val="25"/>
  </w:num>
  <w:num w:numId="33" w16cid:durableId="7032908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2407A"/>
    <w:rsid w:val="000259DD"/>
    <w:rsid w:val="000303A0"/>
    <w:rsid w:val="000360AA"/>
    <w:rsid w:val="0003745F"/>
    <w:rsid w:val="0005069C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4C03"/>
    <w:rsid w:val="0013640B"/>
    <w:rsid w:val="00143DC9"/>
    <w:rsid w:val="001473FC"/>
    <w:rsid w:val="001502CF"/>
    <w:rsid w:val="00160E25"/>
    <w:rsid w:val="00161658"/>
    <w:rsid w:val="001713AF"/>
    <w:rsid w:val="001752C9"/>
    <w:rsid w:val="00183747"/>
    <w:rsid w:val="00183B93"/>
    <w:rsid w:val="001A4DB5"/>
    <w:rsid w:val="001A5703"/>
    <w:rsid w:val="001B0B9A"/>
    <w:rsid w:val="001B6E0A"/>
    <w:rsid w:val="001C018D"/>
    <w:rsid w:val="001C1742"/>
    <w:rsid w:val="001C3698"/>
    <w:rsid w:val="001C4B19"/>
    <w:rsid w:val="001D57B2"/>
    <w:rsid w:val="001E0047"/>
    <w:rsid w:val="001E377A"/>
    <w:rsid w:val="001E5B4A"/>
    <w:rsid w:val="001F6113"/>
    <w:rsid w:val="00206CD8"/>
    <w:rsid w:val="00207F56"/>
    <w:rsid w:val="002110C1"/>
    <w:rsid w:val="00223FCB"/>
    <w:rsid w:val="002253B8"/>
    <w:rsid w:val="00235542"/>
    <w:rsid w:val="00237BAD"/>
    <w:rsid w:val="00240697"/>
    <w:rsid w:val="00263912"/>
    <w:rsid w:val="00264222"/>
    <w:rsid w:val="00264F7E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11D"/>
    <w:rsid w:val="0033748A"/>
    <w:rsid w:val="00352337"/>
    <w:rsid w:val="00352B4A"/>
    <w:rsid w:val="00354E0F"/>
    <w:rsid w:val="00363967"/>
    <w:rsid w:val="003764BE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2704"/>
    <w:rsid w:val="003E3303"/>
    <w:rsid w:val="003F56E2"/>
    <w:rsid w:val="003F5F9C"/>
    <w:rsid w:val="003F6150"/>
    <w:rsid w:val="003F7D61"/>
    <w:rsid w:val="00400D6B"/>
    <w:rsid w:val="00401840"/>
    <w:rsid w:val="004100A7"/>
    <w:rsid w:val="0041264A"/>
    <w:rsid w:val="00427668"/>
    <w:rsid w:val="004366DE"/>
    <w:rsid w:val="00440FCC"/>
    <w:rsid w:val="00441895"/>
    <w:rsid w:val="00446164"/>
    <w:rsid w:val="00453177"/>
    <w:rsid w:val="00470E4A"/>
    <w:rsid w:val="00470E98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2C25"/>
    <w:rsid w:val="004B54E1"/>
    <w:rsid w:val="004B6B8C"/>
    <w:rsid w:val="004B78BB"/>
    <w:rsid w:val="004C17D4"/>
    <w:rsid w:val="004D1513"/>
    <w:rsid w:val="004D15F7"/>
    <w:rsid w:val="004D37A6"/>
    <w:rsid w:val="004D4DC4"/>
    <w:rsid w:val="004E06A2"/>
    <w:rsid w:val="004E12DD"/>
    <w:rsid w:val="004E7855"/>
    <w:rsid w:val="004F23AD"/>
    <w:rsid w:val="004F5A8E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45AF"/>
    <w:rsid w:val="00555DF1"/>
    <w:rsid w:val="0056069B"/>
    <w:rsid w:val="005712B2"/>
    <w:rsid w:val="00575831"/>
    <w:rsid w:val="00576A5C"/>
    <w:rsid w:val="00583699"/>
    <w:rsid w:val="00586173"/>
    <w:rsid w:val="005919A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47466"/>
    <w:rsid w:val="006536C0"/>
    <w:rsid w:val="00653A7D"/>
    <w:rsid w:val="00657DFD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16E44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44A5"/>
    <w:rsid w:val="007D1F64"/>
    <w:rsid w:val="007D2D20"/>
    <w:rsid w:val="007D441E"/>
    <w:rsid w:val="007E273C"/>
    <w:rsid w:val="007E2B13"/>
    <w:rsid w:val="007E48D0"/>
    <w:rsid w:val="007F2542"/>
    <w:rsid w:val="00802389"/>
    <w:rsid w:val="00811F5B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3FC"/>
    <w:rsid w:val="008A2BE5"/>
    <w:rsid w:val="008A7509"/>
    <w:rsid w:val="008B0BE9"/>
    <w:rsid w:val="008B1DF9"/>
    <w:rsid w:val="008B1E3D"/>
    <w:rsid w:val="008B5F5C"/>
    <w:rsid w:val="008D2F65"/>
    <w:rsid w:val="008E4BF1"/>
    <w:rsid w:val="008E5EEF"/>
    <w:rsid w:val="009040B2"/>
    <w:rsid w:val="00911057"/>
    <w:rsid w:val="00911448"/>
    <w:rsid w:val="0092726C"/>
    <w:rsid w:val="00931493"/>
    <w:rsid w:val="00933667"/>
    <w:rsid w:val="00940A55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704B"/>
    <w:rsid w:val="009A17F9"/>
    <w:rsid w:val="009A3E22"/>
    <w:rsid w:val="009A4EBA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1BF3"/>
    <w:rsid w:val="00A42EA6"/>
    <w:rsid w:val="00A432EA"/>
    <w:rsid w:val="00A4625A"/>
    <w:rsid w:val="00A469C3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B6647"/>
    <w:rsid w:val="00AC3CC4"/>
    <w:rsid w:val="00AD0EA9"/>
    <w:rsid w:val="00AD211A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6821"/>
    <w:rsid w:val="00B43D3F"/>
    <w:rsid w:val="00B52F6E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B0398"/>
    <w:rsid w:val="00BB3A21"/>
    <w:rsid w:val="00BB4814"/>
    <w:rsid w:val="00BC6E98"/>
    <w:rsid w:val="00BD75AD"/>
    <w:rsid w:val="00BE00BB"/>
    <w:rsid w:val="00BE45FB"/>
    <w:rsid w:val="00BE5F9E"/>
    <w:rsid w:val="00BE77F7"/>
    <w:rsid w:val="00BF58D6"/>
    <w:rsid w:val="00C01851"/>
    <w:rsid w:val="00C05ADA"/>
    <w:rsid w:val="00C079DA"/>
    <w:rsid w:val="00C14F53"/>
    <w:rsid w:val="00C233BA"/>
    <w:rsid w:val="00C237B5"/>
    <w:rsid w:val="00C33252"/>
    <w:rsid w:val="00C3442A"/>
    <w:rsid w:val="00C37C44"/>
    <w:rsid w:val="00C4624A"/>
    <w:rsid w:val="00C56FBD"/>
    <w:rsid w:val="00C67670"/>
    <w:rsid w:val="00C851A7"/>
    <w:rsid w:val="00C8654B"/>
    <w:rsid w:val="00C86A75"/>
    <w:rsid w:val="00C87807"/>
    <w:rsid w:val="00CB3EF9"/>
    <w:rsid w:val="00CB6D6F"/>
    <w:rsid w:val="00CC0886"/>
    <w:rsid w:val="00CC5F80"/>
    <w:rsid w:val="00CD057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1354"/>
    <w:rsid w:val="00D4224F"/>
    <w:rsid w:val="00D5521F"/>
    <w:rsid w:val="00D64804"/>
    <w:rsid w:val="00D76367"/>
    <w:rsid w:val="00D90638"/>
    <w:rsid w:val="00D9312A"/>
    <w:rsid w:val="00D94A58"/>
    <w:rsid w:val="00D97586"/>
    <w:rsid w:val="00DA1A6F"/>
    <w:rsid w:val="00DA3322"/>
    <w:rsid w:val="00DA5C92"/>
    <w:rsid w:val="00DA7C32"/>
    <w:rsid w:val="00DC317A"/>
    <w:rsid w:val="00DC43B8"/>
    <w:rsid w:val="00DD28CA"/>
    <w:rsid w:val="00DD5F52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2D7B"/>
    <w:rsid w:val="00E34695"/>
    <w:rsid w:val="00E359A1"/>
    <w:rsid w:val="00E3622F"/>
    <w:rsid w:val="00E423EA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44FD"/>
    <w:rsid w:val="00E96DA9"/>
    <w:rsid w:val="00EA3D0B"/>
    <w:rsid w:val="00EA3DC4"/>
    <w:rsid w:val="00EA671F"/>
    <w:rsid w:val="00EC13A2"/>
    <w:rsid w:val="00EC6E0A"/>
    <w:rsid w:val="00EE00F7"/>
    <w:rsid w:val="00EE35EA"/>
    <w:rsid w:val="00EF0B4E"/>
    <w:rsid w:val="00EF0D1E"/>
    <w:rsid w:val="00EF27BC"/>
    <w:rsid w:val="00EF2A44"/>
    <w:rsid w:val="00F00C47"/>
    <w:rsid w:val="00F02256"/>
    <w:rsid w:val="00F02E14"/>
    <w:rsid w:val="00F06693"/>
    <w:rsid w:val="00F121AC"/>
    <w:rsid w:val="00F20BAE"/>
    <w:rsid w:val="00F21CBC"/>
    <w:rsid w:val="00F249D0"/>
    <w:rsid w:val="00F26F32"/>
    <w:rsid w:val="00F338BE"/>
    <w:rsid w:val="00F35DDE"/>
    <w:rsid w:val="00F470A3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4FE8"/>
    <w:rsid w:val="00FC5EF7"/>
    <w:rsid w:val="00FC74C5"/>
    <w:rsid w:val="00FD7180"/>
    <w:rsid w:val="00FE45F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pl/pl/Product-overview/Flexible-standard-component-system/09000/Electromagnets/Magnets-round-electromagnets/p/agid.36216" TargetMode="External"/><Relationship Id="rId13" Type="http://schemas.openxmlformats.org/officeDocument/2006/relationships/hyperlink" Target="https://www.norelem.pl/pl/Product-overview/Flexible-standard-component-system/09000/Electromagnets/c/35948" TargetMode="External"/><Relationship Id="rId18" Type="http://schemas.openxmlformats.org/officeDocument/2006/relationships/hyperlink" Target="http://www.koehler-partner.de/project/norelem-presseservice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norelem.pl/pl/Product-overview/Flexible-standard-component-system/09000/Electromagnets/c/35948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ww.norelem.pl/pl/Product-overview/Flexible-standard-component-system/09000/Electromagnets/Magnets-rectangular-permanent-electromagnets/p/agid.362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pl/pl/Product-overview/Flexible-standard-component-system/09000/Electromagnets/Magnets-round-permanent-electromagnets/p/agid.36220" TargetMode="External"/><Relationship Id="rId20" Type="http://schemas.openxmlformats.org/officeDocument/2006/relationships/hyperlink" Target="http://www.norelem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pl/pl/Product-overview/Flexible-standard-component-system/09000/Electromagnets/Magnets-rectangular-permanent-electromagnets/p/agid.362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elem.pl/pl/Product-overview/Flexible-standard-component-system/09000/Electromagnets/Magnets-rectangular-electromagnets/p/agid.3621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orelem.pl/pl/Product-overview/Flexible-standard-component-system/09000/Electromagnets/Magnets-round-permanent-electromagnets/p/agid.36220" TargetMode="External"/><Relationship Id="rId19" Type="http://schemas.openxmlformats.org/officeDocument/2006/relationships/hyperlink" Target="mailto:info@norele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pl/pl/Product-overview/Flexible-standard-component-system/09000/Electromagnets/Magnets-rectangular-electromagnets/p/agid.36214" TargetMode="External"/><Relationship Id="rId14" Type="http://schemas.openxmlformats.org/officeDocument/2006/relationships/hyperlink" Target="https://www.norelem.pl/pl/Product-overview/Flexible-standard-component-system/09000/Electromagnets/Magnets-round-electromagnets/p/agid.36216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2026-04-08T09:01:00Z</dcterms:created>
  <dcterms:modified xsi:type="dcterms:W3CDTF">2026-04-08T09:01:00Z</dcterms:modified>
</cp:coreProperties>
</file>