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54C5C6DD"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am </w:t>
      </w:r>
      <w:r>
        <w:rPr>
          <w:rFonts w:asciiTheme="minorBidi" w:hAnsiTheme="minorBidi"/>
          <w:b w:val="0"/>
          <w:color w:val="000000" w:themeColor="text1"/>
          <w:sz w:val="22"/>
        </w:rPr>
        <w:t xml:space="preserve">Neckar, </w:t>
      </w:r>
      <w:r w:rsidR="00D60C4E">
        <w:rPr>
          <w:rFonts w:asciiTheme="minorBidi" w:hAnsiTheme="minorBidi"/>
          <w:b w:val="0"/>
          <w:color w:val="000000" w:themeColor="text1"/>
          <w:sz w:val="22"/>
        </w:rPr>
        <w:t>abril</w:t>
      </w:r>
      <w:r>
        <w:rPr>
          <w:rFonts w:asciiTheme="minorBidi" w:hAnsiTheme="minorBidi"/>
          <w:b w:val="0"/>
          <w:color w:val="000000" w:themeColor="text1"/>
          <w:sz w:val="22"/>
        </w:rPr>
        <w:t xml:space="preserve"> de 202</w:t>
      </w:r>
      <w:r w:rsidR="00B1458C">
        <w:rPr>
          <w:rFonts w:asciiTheme="minorBidi" w:hAnsiTheme="minorBidi"/>
          <w:b w:val="0"/>
          <w:color w:val="000000" w:themeColor="text1"/>
          <w:sz w:val="22"/>
        </w:rPr>
        <w:t>6</w:t>
      </w:r>
    </w:p>
    <w:p w14:paraId="16F73F2E" w14:textId="77777777" w:rsidR="00726E4E" w:rsidRPr="00981947" w:rsidRDefault="00726E4E" w:rsidP="0005380A">
      <w:pPr>
        <w:spacing w:line="288" w:lineRule="auto"/>
        <w:rPr>
          <w:rFonts w:asciiTheme="minorBidi" w:hAnsiTheme="minorBidi" w:cstheme="minorBidi"/>
          <w:sz w:val="22"/>
          <w:szCs w:val="22"/>
        </w:rPr>
      </w:pPr>
    </w:p>
    <w:p w14:paraId="4C27E7F1" w14:textId="7885AB19" w:rsidR="00A91155" w:rsidRPr="00981947" w:rsidRDefault="000D4E9C" w:rsidP="0002635E">
      <w:pPr>
        <w:spacing w:line="288" w:lineRule="auto"/>
        <w:rPr>
          <w:rFonts w:asciiTheme="minorBidi" w:eastAsia="Times" w:hAnsiTheme="minorBidi" w:cstheme="minorBidi"/>
          <w:b/>
          <w:bCs/>
          <w:kern w:val="32"/>
          <w:sz w:val="22"/>
          <w:szCs w:val="22"/>
        </w:rPr>
      </w:pPr>
      <w:r>
        <w:rPr>
          <w:b/>
          <w:color w:val="000000" w:themeColor="text1"/>
          <w:sz w:val="22"/>
        </w:rPr>
        <w:t>KIPP presenta la nueva categoría «Rodillos guía de rodamientos»</w:t>
      </w:r>
    </w:p>
    <w:p w14:paraId="434A9D73" w14:textId="2AC69905" w:rsidR="007A7545" w:rsidRPr="00981947" w:rsidRDefault="007E225B" w:rsidP="007E225B">
      <w:pPr>
        <w:spacing w:line="288" w:lineRule="auto"/>
        <w:rPr>
          <w:rFonts w:asciiTheme="minorBidi" w:eastAsia="Times" w:hAnsiTheme="minorBidi" w:cstheme="minorBidi"/>
          <w:b/>
          <w:bCs/>
          <w:kern w:val="32"/>
          <w:sz w:val="36"/>
          <w:szCs w:val="36"/>
        </w:rPr>
      </w:pPr>
      <w:r>
        <w:rPr>
          <w:rFonts w:asciiTheme="minorBidi" w:hAnsiTheme="minorBidi"/>
          <w:b/>
          <w:sz w:val="36"/>
        </w:rPr>
        <w:t>La versatilidad como principio del sistema</w:t>
      </w:r>
    </w:p>
    <w:p w14:paraId="04689EBC" w14:textId="14E97CB3" w:rsidR="00794B53" w:rsidRPr="00981947" w:rsidRDefault="00794B53" w:rsidP="00AA2408">
      <w:pPr>
        <w:spacing w:line="288" w:lineRule="auto"/>
        <w:rPr>
          <w:rFonts w:asciiTheme="minorBidi" w:hAnsiTheme="minorBidi" w:cstheme="minorBidi"/>
          <w:b/>
          <w:bCs/>
          <w:color w:val="000000" w:themeColor="text1"/>
          <w:sz w:val="22"/>
          <w:szCs w:val="22"/>
        </w:rPr>
      </w:pPr>
    </w:p>
    <w:p w14:paraId="5FF31EF9" w14:textId="285FBD0A" w:rsidR="00926E17" w:rsidRPr="00981947" w:rsidRDefault="000D4E9C" w:rsidP="000D4E9C">
      <w:pPr>
        <w:spacing w:line="288" w:lineRule="auto"/>
        <w:rPr>
          <w:b/>
          <w:bCs/>
          <w:sz w:val="22"/>
          <w:szCs w:val="22"/>
        </w:rPr>
      </w:pPr>
      <w:r>
        <w:rPr>
          <w:b/>
          <w:sz w:val="22"/>
        </w:rPr>
        <w:t xml:space="preserve">Los rodillos guía son componentes fundamentales de las instalaciones industriales. Soportan, guían y estabilizan cargas durante largos periodos de tiempo. Con la nueva categoría de </w:t>
      </w:r>
      <w:hyperlink r:id="rId11" w:history="1">
        <w:r>
          <w:rPr>
            <w:rStyle w:val="Hyperlink"/>
            <w:b/>
          </w:rPr>
          <w:t>rodillos guía de rodamiento</w:t>
        </w:r>
      </w:hyperlink>
      <w:r>
        <w:rPr>
          <w:b/>
          <w:sz w:val="22"/>
        </w:rPr>
        <w:t xml:space="preserve">, </w:t>
      </w:r>
      <w:hyperlink r:id="rId12" w:history="1">
        <w:r>
          <w:rPr>
            <w:rStyle w:val="Hyperlink"/>
            <w:b/>
          </w:rPr>
          <w:t>KIPP</w:t>
        </w:r>
      </w:hyperlink>
      <w:r>
        <w:rPr>
          <w:b/>
          <w:sz w:val="22"/>
        </w:rPr>
        <w:t xml:space="preserve"> amplía su gama con 104 artículos distribuidos en 9 familias de productos. Diseñados para las aplicaciones más diversas, estos rodillos combinan una alta precisión dimensional con una construcción robusta y un funcionamiento constante y duradero.</w:t>
      </w:r>
    </w:p>
    <w:p w14:paraId="1873C9EB" w14:textId="77777777" w:rsidR="000D4E9C" w:rsidRDefault="000D4E9C" w:rsidP="009966AB">
      <w:pPr>
        <w:spacing w:line="288" w:lineRule="auto"/>
        <w:rPr>
          <w:rFonts w:asciiTheme="minorBidi" w:hAnsiTheme="minorBidi" w:cstheme="minorBidi"/>
          <w:sz w:val="22"/>
          <w:szCs w:val="22"/>
        </w:rPr>
      </w:pPr>
    </w:p>
    <w:p w14:paraId="35DB578E" w14:textId="2D66F63C" w:rsidR="000D4E9C" w:rsidRPr="000D4E9C" w:rsidRDefault="000D4E9C" w:rsidP="00C20E11">
      <w:pPr>
        <w:spacing w:line="288" w:lineRule="auto"/>
        <w:rPr>
          <w:rFonts w:asciiTheme="minorBidi" w:hAnsiTheme="minorBidi" w:cstheme="minorBidi"/>
          <w:sz w:val="22"/>
          <w:szCs w:val="22"/>
        </w:rPr>
      </w:pPr>
      <w:r>
        <w:rPr>
          <w:rFonts w:asciiTheme="minorBidi" w:hAnsiTheme="minorBidi"/>
          <w:sz w:val="22"/>
        </w:rPr>
        <w:t>Ya sea en sistemas de transporte, líneas de embalaje o sistemas de posicionamiento, los nuevos rodillos guía de rodamiento de KIPP garantizan un funcionamiento silencioso sobre rieles, perfiles o pistas de rodadura en cualquier lugar donde sea necesario controlar el movimiento. Asumen tareas de guía bajo cargas alternas y están diseñados para un uso continuo. Gracias a la combinación de rodamientos rígidos de bolas con recubrimientos cuidadosamente seleccionados, se obtiene un componente que se puede adaptar a una amplia variedad de entornos y requisitos.</w:t>
      </w:r>
    </w:p>
    <w:p w14:paraId="3ABABAC7" w14:textId="77777777" w:rsidR="000D4E9C" w:rsidRPr="000D4E9C" w:rsidRDefault="000D4E9C" w:rsidP="000D4E9C">
      <w:pPr>
        <w:spacing w:line="288" w:lineRule="auto"/>
        <w:rPr>
          <w:rFonts w:asciiTheme="minorBidi" w:hAnsiTheme="minorBidi" w:cstheme="minorBidi"/>
          <w:sz w:val="22"/>
          <w:szCs w:val="22"/>
        </w:rPr>
      </w:pPr>
    </w:p>
    <w:p w14:paraId="00502D46" w14:textId="353FC1E6" w:rsidR="000D4E9C" w:rsidRPr="000D4E9C" w:rsidRDefault="000D4E9C" w:rsidP="000D4E9C">
      <w:pPr>
        <w:spacing w:line="288" w:lineRule="auto"/>
        <w:rPr>
          <w:rFonts w:asciiTheme="minorBidi" w:hAnsiTheme="minorBidi" w:cstheme="minorBidi"/>
          <w:sz w:val="22"/>
          <w:szCs w:val="22"/>
        </w:rPr>
      </w:pPr>
      <w:r>
        <w:rPr>
          <w:rFonts w:asciiTheme="minorBidi" w:hAnsiTheme="minorBidi"/>
          <w:sz w:val="22"/>
        </w:rPr>
        <w:t>La gama abarca un amplio espectro de aplicaciones. Es posible elegir entre perfiles de rodadura cilíndricos, cóncavos, convexos y en forma de Y, así como modelos con brida en uno o en ambos lados. Gracias a esta gran variedad, pueden adaptarse a distintos sistemas de guiado y requisitos de diseño. El sistema se completa con pernos de fijación compatibles de acero bruñido o inoxidable.</w:t>
      </w:r>
    </w:p>
    <w:p w14:paraId="1EE57C92" w14:textId="77777777" w:rsidR="000D4E9C" w:rsidRPr="000D4E9C" w:rsidRDefault="000D4E9C" w:rsidP="000D4E9C">
      <w:pPr>
        <w:spacing w:line="288" w:lineRule="auto"/>
        <w:rPr>
          <w:rFonts w:asciiTheme="minorBidi" w:hAnsiTheme="minorBidi" w:cstheme="minorBidi"/>
          <w:sz w:val="22"/>
          <w:szCs w:val="22"/>
        </w:rPr>
      </w:pPr>
    </w:p>
    <w:p w14:paraId="64E8B1F9" w14:textId="766EAAF7" w:rsidR="000D4E9C" w:rsidRPr="000D4E9C" w:rsidRDefault="004F3CCB" w:rsidP="000D4E9C">
      <w:pPr>
        <w:spacing w:line="288" w:lineRule="auto"/>
        <w:rPr>
          <w:rFonts w:asciiTheme="minorBidi" w:hAnsiTheme="minorBidi" w:cstheme="minorBidi"/>
          <w:b/>
          <w:bCs/>
          <w:sz w:val="22"/>
          <w:szCs w:val="22"/>
        </w:rPr>
      </w:pPr>
      <w:r>
        <w:rPr>
          <w:rFonts w:asciiTheme="minorBidi" w:hAnsiTheme="minorBidi"/>
          <w:b/>
          <w:sz w:val="22"/>
        </w:rPr>
        <w:t>Tres materiales para diferentes requisitos</w:t>
      </w:r>
    </w:p>
    <w:p w14:paraId="3988BA31" w14:textId="39455645" w:rsidR="004F3CCB" w:rsidRPr="004F3CCB" w:rsidRDefault="004F3CCB" w:rsidP="004F3CCB">
      <w:pPr>
        <w:spacing w:line="288" w:lineRule="auto"/>
        <w:rPr>
          <w:rFonts w:asciiTheme="minorBidi" w:hAnsiTheme="minorBidi" w:cstheme="minorBidi"/>
          <w:sz w:val="22"/>
          <w:szCs w:val="22"/>
        </w:rPr>
      </w:pPr>
      <w:r>
        <w:rPr>
          <w:rFonts w:asciiTheme="minorBidi" w:hAnsiTheme="minorBidi"/>
          <w:sz w:val="22"/>
        </w:rPr>
        <w:t>Los rodillos guía están disponibles con diferentes recubrimientos de rodadura, que ofrecen ventajas específicas en función del tipo de material. Para aplicaciones precisas y silenciosas se dispone del termoplástico técnico POM (blanco, con diámetros de 20 a 35 mm), con o sin pernos de fijación o rosca exterior. Este material destaca por su alta precisión dimensional, su baja fricción y su gran resistencia química, por lo que es ideal para su uso en instalaciones automatizadas.</w:t>
      </w:r>
    </w:p>
    <w:p w14:paraId="4D5BA957" w14:textId="77777777" w:rsidR="004F3CCB" w:rsidRPr="004F3CCB" w:rsidRDefault="004F3CCB" w:rsidP="004F3CCB">
      <w:pPr>
        <w:spacing w:line="288" w:lineRule="auto"/>
        <w:rPr>
          <w:rFonts w:asciiTheme="minorBidi" w:hAnsiTheme="minorBidi" w:cstheme="minorBidi"/>
          <w:sz w:val="22"/>
          <w:szCs w:val="22"/>
        </w:rPr>
      </w:pPr>
    </w:p>
    <w:p w14:paraId="507C49A5" w14:textId="1A68407D" w:rsidR="004F3CCB" w:rsidRPr="004F3CCB" w:rsidRDefault="00636F3D" w:rsidP="004F3CCB">
      <w:pPr>
        <w:spacing w:line="288" w:lineRule="auto"/>
        <w:rPr>
          <w:rFonts w:asciiTheme="minorBidi" w:hAnsiTheme="minorBidi" w:cstheme="minorBidi"/>
          <w:sz w:val="22"/>
          <w:szCs w:val="22"/>
        </w:rPr>
      </w:pPr>
      <w:r>
        <w:rPr>
          <w:rFonts w:asciiTheme="minorBidi" w:hAnsiTheme="minorBidi"/>
          <w:sz w:val="22"/>
        </w:rPr>
        <w:t>Los rodillos guía de poliuretano (PUR, marrón oscuro, con diámetros de 20 a 60 mm) se utilizan cuando se requiere un funcionamiento especialmente silencioso y cuando es necesario proteger pistas de rodadura sensibles. El PUR amortigua las vibraciones, absorbe los golpes y contribuye a un funcionamiento silencioso, por lo que resulta perfecto para entornos sensibles al ruido y aplicaciones con cargas variables.</w:t>
      </w:r>
    </w:p>
    <w:p w14:paraId="4B220D04" w14:textId="77777777" w:rsidR="004F3CCB" w:rsidRPr="004F3CCB" w:rsidRDefault="004F3CCB" w:rsidP="004F3CCB">
      <w:pPr>
        <w:spacing w:line="288" w:lineRule="auto"/>
        <w:rPr>
          <w:rFonts w:asciiTheme="minorBidi" w:hAnsiTheme="minorBidi" w:cstheme="minorBidi"/>
          <w:sz w:val="22"/>
          <w:szCs w:val="22"/>
        </w:rPr>
      </w:pPr>
    </w:p>
    <w:p w14:paraId="3BA91486" w14:textId="1286B1F6" w:rsidR="000D4E9C" w:rsidRPr="000D4E9C" w:rsidRDefault="004F3CCB" w:rsidP="008F2D06">
      <w:pPr>
        <w:spacing w:line="288" w:lineRule="auto"/>
        <w:rPr>
          <w:rFonts w:asciiTheme="minorBidi" w:hAnsiTheme="minorBidi" w:cstheme="minorBidi"/>
          <w:sz w:val="22"/>
          <w:szCs w:val="22"/>
        </w:rPr>
      </w:pPr>
      <w:r>
        <w:rPr>
          <w:rFonts w:asciiTheme="minorBidi" w:hAnsiTheme="minorBidi"/>
          <w:sz w:val="22"/>
        </w:rPr>
        <w:t xml:space="preserve">Para cargas elevadas y condiciones de uso exigentes se recomiendan los rodillos guía de acero niquelado (diámetro de 30 a 70 mm). Este modelo, que también está disponible sin pernos de fijación, destaca por su gran estabilidad dimensional, su resistencia a la corrosión y su capacidad </w:t>
      </w:r>
      <w:r>
        <w:rPr>
          <w:rFonts w:asciiTheme="minorBidi" w:hAnsiTheme="minorBidi"/>
          <w:sz w:val="22"/>
        </w:rPr>
        <w:lastRenderedPageBreak/>
        <w:t>de carga. El POM y el PUR se inyectan directamente sobre el rodamiento de bolas, mientras que el revestimiento de acero se fija mediante un anillo de seguridad. Para cargas especialmente elevadas hay disponibles, bajo pedido, modelos con dos rodamientos de bolas.</w:t>
      </w:r>
    </w:p>
    <w:p w14:paraId="61F6E4E8" w14:textId="77777777" w:rsidR="008F2D06" w:rsidRPr="000D4E9C" w:rsidRDefault="008F2D06" w:rsidP="000D4E9C">
      <w:pPr>
        <w:spacing w:line="288" w:lineRule="auto"/>
        <w:rPr>
          <w:rFonts w:asciiTheme="minorBidi" w:hAnsiTheme="minorBidi" w:cstheme="minorBidi"/>
          <w:sz w:val="22"/>
          <w:szCs w:val="22"/>
        </w:rPr>
      </w:pPr>
    </w:p>
    <w:p w14:paraId="65B0BEE9" w14:textId="5A10A0D3" w:rsidR="000D4E9C" w:rsidRPr="004F3CCB" w:rsidRDefault="000D4E9C" w:rsidP="000D4E9C">
      <w:pPr>
        <w:spacing w:line="288" w:lineRule="auto"/>
        <w:rPr>
          <w:rFonts w:asciiTheme="minorBidi" w:hAnsiTheme="minorBidi" w:cstheme="minorBidi"/>
          <w:b/>
          <w:bCs/>
          <w:sz w:val="22"/>
          <w:szCs w:val="22"/>
        </w:rPr>
      </w:pPr>
      <w:r>
        <w:rPr>
          <w:rFonts w:asciiTheme="minorBidi" w:hAnsiTheme="minorBidi"/>
          <w:b/>
          <w:sz w:val="22"/>
        </w:rPr>
        <w:t>Resumen de las características técnicas:</w:t>
      </w:r>
    </w:p>
    <w:p w14:paraId="29AAFC90"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9 familias de productos, 104 variantes</w:t>
      </w:r>
    </w:p>
    <w:p w14:paraId="09938316"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Recubrimientos de rodadura: POM, PUR, acero niquelado</w:t>
      </w:r>
    </w:p>
    <w:p w14:paraId="79570B01"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Perfiles de rodadura: cilíndrico, cóncavo, convexo, en forma de Y, con/sin brida</w:t>
      </w:r>
    </w:p>
    <w:p w14:paraId="1EB68C6D"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Diámetro de los rodillos: 20-70 mm</w:t>
      </w:r>
    </w:p>
    <w:p w14:paraId="1E4251CE"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Opciones de fijación: con/sin perno, acero bruñido o acero inoxidable</w:t>
      </w:r>
    </w:p>
    <w:p w14:paraId="1A23BE78"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Estructura: rodamiento rígido de bolas simple, con recubrimiento inyectado o fijado</w:t>
      </w:r>
    </w:p>
    <w:p w14:paraId="2E6E463F"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Versiones para cargas pesadas: opcionalmente con dos rodamientos de bolas</w:t>
      </w:r>
    </w:p>
    <w:p w14:paraId="67926685" w14:textId="77777777" w:rsidR="007E225B" w:rsidRDefault="007E225B" w:rsidP="000D4E9C">
      <w:pPr>
        <w:spacing w:line="288" w:lineRule="auto"/>
        <w:rPr>
          <w:rFonts w:asciiTheme="minorBidi" w:hAnsiTheme="minorBidi" w:cstheme="minorBidi"/>
          <w:sz w:val="22"/>
          <w:szCs w:val="22"/>
        </w:rPr>
      </w:pPr>
    </w:p>
    <w:p w14:paraId="5622003C" w14:textId="77777777" w:rsidR="007E225B" w:rsidRPr="000D4E9C" w:rsidRDefault="007E225B" w:rsidP="000D4E9C">
      <w:pPr>
        <w:spacing w:line="288" w:lineRule="auto"/>
        <w:rPr>
          <w:rFonts w:asciiTheme="minorBidi" w:hAnsiTheme="minorBidi" w:cstheme="minorBidi"/>
          <w:sz w:val="22"/>
          <w:szCs w:val="22"/>
        </w:rPr>
      </w:pPr>
    </w:p>
    <w:p w14:paraId="4E47A71C" w14:textId="60AAB7CB"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(Caracteres con espacios: 3</w:t>
      </w:r>
      <w:r w:rsidR="00F74FEA">
        <w:rPr>
          <w:rFonts w:asciiTheme="minorBidi" w:hAnsiTheme="minorBidi"/>
          <w:i/>
          <w:color w:val="000000" w:themeColor="text1"/>
          <w:sz w:val="22"/>
        </w:rPr>
        <w:t>376</w:t>
      </w:r>
      <w:r>
        <w:rPr>
          <w:rFonts w:asciiTheme="minorBidi" w:hAnsiTheme="minorBidi"/>
          <w:i/>
          <w:color w:val="000000" w:themeColor="text1"/>
          <w:sz w:val="22"/>
        </w:rPr>
        <w:t>)</w:t>
      </w: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4EF68E7" w14:textId="77777777" w:rsidR="0042262B" w:rsidRPr="00981947" w:rsidRDefault="0042262B"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Vista general de imágenes:</w:t>
      </w:r>
    </w:p>
    <w:p w14:paraId="58163641" w14:textId="5538FF06" w:rsidR="003D002E" w:rsidRPr="00981947" w:rsidRDefault="0042262B"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drawing>
          <wp:inline distT="0" distB="0" distL="0" distR="0" wp14:anchorId="069C5DA1" wp14:editId="21C528D8">
            <wp:extent cx="6031678" cy="4352260"/>
            <wp:effectExtent l="0" t="0" r="1270" b="4445"/>
            <wp:docPr id="10127488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48810" name="Grafik 10127488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06118" cy="4405973"/>
                    </a:xfrm>
                    <a:prstGeom prst="rect">
                      <a:avLst/>
                    </a:prstGeom>
                  </pic:spPr>
                </pic:pic>
              </a:graphicData>
            </a:graphic>
          </wp:inline>
        </w:drawing>
      </w:r>
    </w:p>
    <w:p w14:paraId="672C4962" w14:textId="0609F8AE" w:rsidR="003D002E" w:rsidRPr="00981947" w:rsidRDefault="0042262B" w:rsidP="00BF559B">
      <w:pPr>
        <w:spacing w:line="288" w:lineRule="auto"/>
        <w:rPr>
          <w:rFonts w:asciiTheme="minorBidi" w:hAnsiTheme="minorBidi" w:cstheme="minorBidi"/>
          <w:sz w:val="22"/>
          <w:szCs w:val="22"/>
        </w:rPr>
      </w:pPr>
      <w:r>
        <w:rPr>
          <w:sz w:val="22"/>
        </w:rPr>
        <w:t>Tres materiales, múltiples perfiles de rodadura</w:t>
      </w:r>
      <w:r>
        <w:rPr>
          <w:rFonts w:asciiTheme="minorBidi" w:hAnsiTheme="minorBidi"/>
          <w:sz w:val="22"/>
        </w:rPr>
        <w:t>: los nuevos rodillos guía de rodamiento de KIPP garantizan un funcionamiento silencioso sobre rieles, perfiles o pistas de rodadura en cualquier lugar donde sea necesario controlar el movimiento.</w:t>
      </w:r>
      <w:r>
        <w:rPr>
          <w:rFonts w:asciiTheme="minorBidi" w:hAnsiTheme="minorBidi"/>
          <w:color w:val="000000" w:themeColor="text1"/>
          <w:sz w:val="22"/>
        </w:rPr>
        <w:t xml:space="preserve"> </w:t>
      </w:r>
      <w:r>
        <w:rPr>
          <w:rFonts w:asciiTheme="minorBidi" w:hAnsiTheme="minorBidi"/>
          <w:i/>
          <w:color w:val="000000" w:themeColor="text1"/>
          <w:sz w:val="22"/>
        </w:rPr>
        <w:t>Imagen: KIPP</w:t>
      </w:r>
    </w:p>
    <w:p w14:paraId="4EF5786A" w14:textId="77777777" w:rsidR="00EF3535" w:rsidRDefault="00EF3535" w:rsidP="00EF3535">
      <w:pPr>
        <w:pStyle w:val="Pressetext"/>
        <w:spacing w:line="288" w:lineRule="auto"/>
        <w:rPr>
          <w:rFonts w:asciiTheme="minorBidi" w:hAnsiTheme="minorBidi" w:cstheme="minorBidi"/>
          <w:b/>
          <w:szCs w:val="22"/>
        </w:rPr>
      </w:pPr>
    </w:p>
    <w:p w14:paraId="0A1AD8EA" w14:textId="1E88231B" w:rsidR="00EC6E21" w:rsidRPr="00981947" w:rsidRDefault="00F74FEA" w:rsidP="00F74FEA">
      <w:pPr>
        <w:pStyle w:val="Pressetext"/>
        <w:spacing w:line="288" w:lineRule="auto"/>
        <w:rPr>
          <w:rFonts w:asciiTheme="minorBidi" w:hAnsiTheme="minorBidi" w:cstheme="minorBidi"/>
          <w:b/>
          <w:szCs w:val="22"/>
        </w:rPr>
      </w:pPr>
      <w:r>
        <w:rPr>
          <w:rFonts w:asciiTheme="minorBidi" w:hAnsiTheme="minorBidi" w:cstheme="minorBidi"/>
          <w:b/>
          <w:noProof/>
          <w:szCs w:val="22"/>
        </w:rPr>
        <w:lastRenderedPageBreak/>
        <w:drawing>
          <wp:inline distT="0" distB="0" distL="0" distR="0" wp14:anchorId="3317BB9C" wp14:editId="47DA6F01">
            <wp:extent cx="4807131" cy="3200400"/>
            <wp:effectExtent l="0" t="0" r="6350" b="0"/>
            <wp:docPr id="1828945047" name="Grafik 1" descr="Ein Bild, das Türgriff, Im Haus, Wand, Tü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45047" name="Grafik 1" descr="Ein Bild, das Türgriff, Im Haus, Wand, Tür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12619" cy="3204054"/>
                    </a:xfrm>
                    <a:prstGeom prst="rect">
                      <a:avLst/>
                    </a:prstGeom>
                  </pic:spPr>
                </pic:pic>
              </a:graphicData>
            </a:graphic>
          </wp:inline>
        </w:drawing>
      </w:r>
    </w:p>
    <w:p w14:paraId="19576BD9" w14:textId="27C51B2E" w:rsidR="00EC6E21" w:rsidRPr="00981947" w:rsidRDefault="00EC6E21" w:rsidP="00EC6E21">
      <w:pPr>
        <w:spacing w:line="288" w:lineRule="auto"/>
        <w:rPr>
          <w:rFonts w:asciiTheme="minorBidi" w:hAnsiTheme="minorBidi" w:cstheme="minorBidi"/>
          <w:sz w:val="22"/>
          <w:szCs w:val="22"/>
        </w:rPr>
      </w:pPr>
      <w:r>
        <w:rPr>
          <w:sz w:val="22"/>
        </w:rPr>
        <w:t xml:space="preserve">Diseñados para las aplicaciones más diversas, los </w:t>
      </w:r>
      <w:r>
        <w:rPr>
          <w:rFonts w:asciiTheme="minorBidi" w:hAnsiTheme="minorBidi"/>
          <w:sz w:val="22"/>
        </w:rPr>
        <w:t xml:space="preserve">rodillos guía de rodamiento de KIPP </w:t>
      </w:r>
      <w:r>
        <w:rPr>
          <w:sz w:val="22"/>
        </w:rPr>
        <w:t>combinan una alta precisión dimensional con una construcción robusta y un funcionamiento constante y duradero.</w:t>
      </w:r>
      <w:r>
        <w:rPr>
          <w:rFonts w:asciiTheme="minorBidi" w:hAnsiTheme="minorBidi"/>
          <w:color w:val="000000" w:themeColor="text1"/>
          <w:sz w:val="22"/>
        </w:rPr>
        <w:t xml:space="preserve"> </w:t>
      </w:r>
      <w:r w:rsidRPr="00F74FEA">
        <w:rPr>
          <w:rFonts w:asciiTheme="minorBidi" w:hAnsiTheme="minorBidi"/>
          <w:i/>
          <w:color w:val="000000" w:themeColor="text1"/>
          <w:sz w:val="22"/>
        </w:rPr>
        <w:t>Imagen: KIPP / generado por IA</w:t>
      </w:r>
    </w:p>
    <w:p w14:paraId="5B929759" w14:textId="77777777" w:rsidR="0042262B" w:rsidRDefault="0042262B" w:rsidP="0005380A">
      <w:pPr>
        <w:pStyle w:val="Pressetext"/>
        <w:spacing w:line="288" w:lineRule="auto"/>
        <w:rPr>
          <w:rFonts w:asciiTheme="minorBidi" w:hAnsiTheme="minorBidi" w:cstheme="minorBidi"/>
          <w:b/>
          <w:szCs w:val="22"/>
        </w:rPr>
      </w:pPr>
    </w:p>
    <w:p w14:paraId="067DA676" w14:textId="77777777" w:rsidR="00F74FEA" w:rsidRPr="00981947" w:rsidRDefault="00F74FEA" w:rsidP="0005380A">
      <w:pPr>
        <w:pStyle w:val="Pressetext"/>
        <w:spacing w:line="288" w:lineRule="auto"/>
        <w:rPr>
          <w:rFonts w:asciiTheme="minorBidi" w:hAnsiTheme="minorBidi" w:cstheme="minorBidi"/>
          <w:b/>
          <w:szCs w:val="22"/>
        </w:rPr>
      </w:pPr>
    </w:p>
    <w:p w14:paraId="3FA0F886" w14:textId="72328BA3" w:rsidR="002013FD" w:rsidRPr="00981947"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7CFBAEA6" w14:textId="20C588D5" w:rsidR="002B1DD4" w:rsidRDefault="00F74FEA" w:rsidP="004A695A">
      <w:pPr>
        <w:spacing w:line="288" w:lineRule="auto"/>
        <w:rPr>
          <w:sz w:val="22"/>
          <w:szCs w:val="22"/>
        </w:rPr>
      </w:pPr>
      <w:hyperlink r:id="rId15" w:history="1">
        <w:r w:rsidRPr="00F74FEA">
          <w:rPr>
            <w:rStyle w:val="Hyperlink"/>
            <w:szCs w:val="22"/>
          </w:rPr>
          <w:t>https://www.kipp.es/es/Productos/ELEMENTOS-DE-MANDO/Tecnolog%C3%ADa-de-transporte/Rodillos-gu%C3%ADa/c/35106</w:t>
        </w:r>
      </w:hyperlink>
    </w:p>
    <w:p w14:paraId="737F41CD" w14:textId="56BA05F0" w:rsidR="00F74FEA" w:rsidRDefault="00F74FEA" w:rsidP="004A695A">
      <w:pPr>
        <w:spacing w:line="288" w:lineRule="auto"/>
        <w:rPr>
          <w:sz w:val="22"/>
          <w:szCs w:val="22"/>
        </w:rPr>
      </w:pPr>
      <w:hyperlink r:id="rId16" w:history="1">
        <w:r w:rsidRPr="009712EB">
          <w:rPr>
            <w:rStyle w:val="Hyperlink"/>
            <w:szCs w:val="22"/>
          </w:rPr>
          <w:t>https://www.kipp.es/es/</w:t>
        </w:r>
      </w:hyperlink>
    </w:p>
    <w:p w14:paraId="44B1FEBD" w14:textId="77777777" w:rsidR="00F74FEA" w:rsidRPr="00F74FEA" w:rsidRDefault="00F74FEA" w:rsidP="004A695A">
      <w:pPr>
        <w:spacing w:line="288" w:lineRule="auto"/>
        <w:rPr>
          <w:sz w:val="22"/>
          <w:szCs w:val="22"/>
        </w:rPr>
      </w:pP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07A58B42" w14:textId="77777777" w:rsidR="00394016" w:rsidRPr="00981947" w:rsidRDefault="002013FD" w:rsidP="0005380A">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Title</w:t>
      </w:r>
      <w:proofErr w:type="spellEnd"/>
      <w:r>
        <w:rPr>
          <w:rFonts w:asciiTheme="minorBidi" w:hAnsiTheme="minorBidi"/>
          <w:b/>
          <w:color w:val="000000" w:themeColor="text1"/>
        </w:rPr>
        <w:t>:</w:t>
      </w:r>
    </w:p>
    <w:p w14:paraId="3C2D6CBA" w14:textId="7B34CE92" w:rsidR="00254AB2" w:rsidRPr="00F74FEA" w:rsidRDefault="006C55A1" w:rsidP="00F74FEA">
      <w:pPr>
        <w:pStyle w:val="Pressetext"/>
        <w:spacing w:line="288" w:lineRule="auto"/>
        <w:rPr>
          <w:rFonts w:asciiTheme="minorBidi" w:hAnsiTheme="minorBidi" w:cstheme="minorBidi"/>
          <w:kern w:val="32"/>
          <w:szCs w:val="22"/>
        </w:rPr>
      </w:pPr>
      <w:r>
        <w:rPr>
          <w:color w:val="000000" w:themeColor="text1"/>
        </w:rPr>
        <w:t>Nueva categoría «Rodillos guía de rodamientos» de KIPP</w:t>
      </w:r>
    </w:p>
    <w:p w14:paraId="74C11112" w14:textId="77777777" w:rsidR="00B90B9E" w:rsidRPr="00981947" w:rsidRDefault="002013FD" w:rsidP="0005380A">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w:t>
      </w:r>
    </w:p>
    <w:p w14:paraId="12DD112E" w14:textId="2F499CD7" w:rsidR="00F00B0A" w:rsidRPr="008C196E" w:rsidRDefault="006C55A1" w:rsidP="008C196E">
      <w:pPr>
        <w:pStyle w:val="Pressetext"/>
        <w:spacing w:line="288" w:lineRule="auto"/>
        <w:rPr>
          <w:rFonts w:asciiTheme="minorBidi" w:hAnsiTheme="minorBidi" w:cstheme="minorBidi"/>
          <w:szCs w:val="22"/>
        </w:rPr>
      </w:pPr>
      <w:r>
        <w:rPr>
          <w:color w:val="000000" w:themeColor="text1"/>
        </w:rPr>
        <w:t>Con la categoría de rodillos guía de rodamiento, KIPP amplía su gama con 104 artículos distribuidos en 9 familias de productos. Los rodillos combinan precisión con durabilidad y una construcción robusta.</w:t>
      </w:r>
    </w:p>
    <w:p w14:paraId="3FECCB41" w14:textId="77777777" w:rsidR="00A13571" w:rsidRDefault="00A13571" w:rsidP="0005380A">
      <w:pPr>
        <w:pStyle w:val="Pressetext"/>
        <w:spacing w:line="288" w:lineRule="auto"/>
        <w:rPr>
          <w:rFonts w:asciiTheme="minorBidi" w:hAnsiTheme="minorBidi" w:cstheme="minorBidi"/>
          <w:color w:val="000000" w:themeColor="text1"/>
          <w:szCs w:val="22"/>
        </w:rPr>
      </w:pPr>
    </w:p>
    <w:p w14:paraId="3F1268DA" w14:textId="77777777" w:rsidR="00F74FEA" w:rsidRPr="00981947" w:rsidRDefault="00F74FEA" w:rsidP="0005380A">
      <w:pPr>
        <w:pStyle w:val="Pressetext"/>
        <w:spacing w:line="288" w:lineRule="auto"/>
        <w:rPr>
          <w:rFonts w:asciiTheme="minorBidi" w:hAnsiTheme="minorBidi" w:cstheme="minorBidi"/>
          <w:color w:val="000000" w:themeColor="text1"/>
          <w:szCs w:val="22"/>
        </w:rPr>
      </w:pPr>
    </w:p>
    <w:p w14:paraId="054D786E" w14:textId="4D69B218" w:rsidR="002013FD" w:rsidRPr="00981947" w:rsidRDefault="002013FD" w:rsidP="00650222">
      <w:pPr>
        <w:pStyle w:val="Pressetext"/>
        <w:spacing w:line="288" w:lineRule="auto"/>
        <w:rPr>
          <w:rFonts w:asciiTheme="minorBidi" w:hAnsiTheme="minorBidi" w:cstheme="minorBidi"/>
          <w:color w:val="000000" w:themeColor="text1"/>
          <w:szCs w:val="22"/>
        </w:rPr>
      </w:pPr>
      <w:proofErr w:type="spellStart"/>
      <w:r>
        <w:rPr>
          <w:rFonts w:asciiTheme="minorBidi" w:hAnsiTheme="minorBidi"/>
          <w:b/>
          <w:color w:val="000000" w:themeColor="text1"/>
        </w:rPr>
        <w:t>Keywords</w:t>
      </w:r>
      <w:proofErr w:type="spellEnd"/>
      <w:r>
        <w:rPr>
          <w:rFonts w:asciiTheme="minorBidi" w:hAnsiTheme="minorBidi"/>
          <w:b/>
          <w:color w:val="000000" w:themeColor="text1"/>
        </w:rPr>
        <w:t xml:space="preserve">: </w:t>
      </w:r>
      <w:r>
        <w:rPr>
          <w:rFonts w:asciiTheme="minorBidi" w:hAnsiTheme="minorBidi"/>
          <w:color w:val="000000" w:themeColor="text1"/>
        </w:rPr>
        <w:t xml:space="preserve">KIPP, HEINRICH KIPP WERK, elementos de mando, piezas normalizadas, </w:t>
      </w:r>
      <w:r>
        <w:rPr>
          <w:color w:val="000000" w:themeColor="text1"/>
        </w:rPr>
        <w:t>rodillos guía de rodamiento, rodillos guía, recubrimientos de rodadura, POM, PUR, sistemas de transporte, industria de embalaje, automatización</w:t>
      </w:r>
    </w:p>
    <w:p w14:paraId="03F9A8C1" w14:textId="48BF3C05" w:rsidR="00651825" w:rsidRPr="00981947"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981947" w:rsidRDefault="00B80952" w:rsidP="0005380A">
      <w:pPr>
        <w:spacing w:line="288" w:lineRule="auto"/>
        <w:rPr>
          <w:rFonts w:asciiTheme="minorBidi" w:hAnsiTheme="minorBidi" w:cstheme="minorBidi"/>
          <w:b/>
          <w:sz w:val="22"/>
          <w:szCs w:val="22"/>
        </w:rPr>
      </w:pPr>
      <w:proofErr w:type="spellStart"/>
      <w:r>
        <w:rPr>
          <w:rFonts w:asciiTheme="minorBidi" w:hAnsiTheme="minorBidi"/>
          <w:b/>
          <w:sz w:val="22"/>
        </w:rPr>
        <w:t>Download-Area</w:t>
      </w:r>
      <w:proofErr w:type="spellEnd"/>
      <w:r>
        <w:rPr>
          <w:rFonts w:asciiTheme="minorBidi" w:hAnsiTheme="minorBidi"/>
          <w:b/>
          <w:sz w:val="22"/>
        </w:rPr>
        <w:t>:</w:t>
      </w:r>
    </w:p>
    <w:p w14:paraId="47264D2C" w14:textId="02B6C6F6" w:rsidR="005F0F44" w:rsidRPr="00F74FEA" w:rsidRDefault="00F74FEA" w:rsidP="0005380A">
      <w:pPr>
        <w:pStyle w:val="Pressetext"/>
        <w:spacing w:line="288" w:lineRule="auto"/>
        <w:rPr>
          <w:rFonts w:eastAsia="Times New Roman"/>
          <w:szCs w:val="22"/>
        </w:rPr>
      </w:pPr>
      <w:hyperlink r:id="rId17" w:history="1">
        <w:r w:rsidRPr="00F74FEA">
          <w:rPr>
            <w:rStyle w:val="Hyperlink"/>
            <w:rFonts w:eastAsia="Times New Roman"/>
            <w:szCs w:val="22"/>
          </w:rPr>
          <w:t>https://www.koehler-partner.de/pressezentrum/kipp</w:t>
        </w:r>
      </w:hyperlink>
    </w:p>
    <w:p w14:paraId="209E19A5" w14:textId="77777777" w:rsidR="00F74FEA" w:rsidRPr="00981947" w:rsidRDefault="00F74FEA" w:rsidP="0005380A">
      <w:pPr>
        <w:pStyle w:val="Pressetext"/>
        <w:spacing w:line="288" w:lineRule="auto"/>
        <w:rPr>
          <w:rFonts w:asciiTheme="minorBidi" w:hAnsiTheme="minorBidi" w:cstheme="minorBidi"/>
          <w:szCs w:val="22"/>
        </w:rPr>
      </w:pPr>
    </w:p>
    <w:p w14:paraId="6E129CBC" w14:textId="77777777" w:rsidR="0057076B" w:rsidRPr="00981947" w:rsidRDefault="0057076B" w:rsidP="0005380A">
      <w:pPr>
        <w:pStyle w:val="Pressetext"/>
        <w:spacing w:line="288" w:lineRule="auto"/>
        <w:rPr>
          <w:rFonts w:asciiTheme="minorBidi" w:hAnsiTheme="minorBidi" w:cstheme="minorBidi"/>
          <w:szCs w:val="22"/>
        </w:rPr>
      </w:pPr>
    </w:p>
    <w:p w14:paraId="0962AA0C" w14:textId="77777777" w:rsidR="00F74FEA" w:rsidRPr="00981947" w:rsidRDefault="00F74FEA" w:rsidP="00F74FEA">
      <w:pPr>
        <w:spacing w:line="288" w:lineRule="auto"/>
        <w:rPr>
          <w:rFonts w:asciiTheme="minorBidi" w:hAnsiTheme="minorBidi" w:cstheme="minorBidi"/>
          <w:b/>
          <w:sz w:val="22"/>
          <w:szCs w:val="22"/>
        </w:rPr>
      </w:pPr>
      <w:r>
        <w:rPr>
          <w:rFonts w:asciiTheme="minorBidi" w:hAnsiTheme="minorBidi"/>
          <w:b/>
          <w:sz w:val="22"/>
        </w:rPr>
        <w:lastRenderedPageBreak/>
        <w:t xml:space="preserve">HEINRICH </w:t>
      </w:r>
      <w:r>
        <w:rPr>
          <w:rFonts w:asciiTheme="minorBidi" w:hAnsiTheme="minorBidi"/>
          <w:b/>
          <w:color w:val="000000" w:themeColor="text1"/>
          <w:sz w:val="22"/>
        </w:rPr>
        <w:t xml:space="preserve">KIPP WERK </w:t>
      </w:r>
      <w:proofErr w:type="spellStart"/>
      <w:r>
        <w:rPr>
          <w:rFonts w:asciiTheme="minorBidi" w:hAnsiTheme="minorBidi"/>
          <w:b/>
          <w:color w:val="000000" w:themeColor="text1"/>
          <w:sz w:val="22"/>
        </w:rPr>
        <w:t>GmbH</w:t>
      </w:r>
      <w:proofErr w:type="spellEnd"/>
      <w:r>
        <w:rPr>
          <w:rFonts w:asciiTheme="minorBidi" w:hAnsiTheme="minorBidi"/>
          <w:b/>
          <w:color w:val="000000" w:themeColor="text1"/>
          <w:sz w:val="22"/>
        </w:rPr>
        <w:t xml:space="preserve"> &amp; Co. KG</w:t>
      </w:r>
    </w:p>
    <w:p w14:paraId="292245E2" w14:textId="77777777" w:rsidR="00F74FEA" w:rsidRPr="00981947" w:rsidRDefault="00F74FEA" w:rsidP="00F74FEA">
      <w:pPr>
        <w:spacing w:line="288" w:lineRule="auto"/>
        <w:rPr>
          <w:rFonts w:asciiTheme="minorBidi" w:hAnsiTheme="minorBidi" w:cstheme="minorBidi"/>
          <w:sz w:val="22"/>
          <w:szCs w:val="22"/>
        </w:rPr>
      </w:pPr>
      <w:proofErr w:type="spellStart"/>
      <w:r>
        <w:rPr>
          <w:rFonts w:asciiTheme="minorBidi" w:hAnsiTheme="minorBidi"/>
          <w:sz w:val="22"/>
        </w:rPr>
        <w:t>Andre</w:t>
      </w:r>
      <w:proofErr w:type="spellEnd"/>
      <w:r>
        <w:rPr>
          <w:rFonts w:asciiTheme="minorBidi" w:hAnsiTheme="minorBidi"/>
          <w:sz w:val="22"/>
        </w:rPr>
        <w:t xml:space="preserve"> </w:t>
      </w:r>
      <w:proofErr w:type="spellStart"/>
      <w:r>
        <w:rPr>
          <w:rFonts w:asciiTheme="minorBidi" w:hAnsiTheme="minorBidi"/>
          <w:sz w:val="22"/>
        </w:rPr>
        <w:t>Jerke</w:t>
      </w:r>
      <w:proofErr w:type="spellEnd"/>
      <w:r>
        <w:rPr>
          <w:rFonts w:asciiTheme="minorBidi" w:hAnsiTheme="minorBidi"/>
          <w:sz w:val="22"/>
        </w:rPr>
        <w:t>, Marketing</w:t>
      </w:r>
    </w:p>
    <w:p w14:paraId="22DFB96F" w14:textId="77777777" w:rsidR="00F74FEA" w:rsidRPr="00981947" w:rsidRDefault="00F74FEA" w:rsidP="00F74FEA">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7BD991FD" w14:textId="77777777" w:rsidR="00F74FEA" w:rsidRPr="00981947" w:rsidRDefault="00F74FEA" w:rsidP="00F74FEA">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am Neckar</w:t>
      </w:r>
    </w:p>
    <w:p w14:paraId="64C29FBA" w14:textId="77777777" w:rsidR="00F74FEA" w:rsidRPr="00981947" w:rsidRDefault="00F74FEA" w:rsidP="00F74FEA">
      <w:pPr>
        <w:spacing w:line="288" w:lineRule="auto"/>
        <w:rPr>
          <w:rFonts w:asciiTheme="minorBidi" w:hAnsiTheme="minorBidi" w:cstheme="minorBidi"/>
          <w:sz w:val="22"/>
          <w:szCs w:val="22"/>
        </w:rPr>
      </w:pPr>
    </w:p>
    <w:p w14:paraId="19769656" w14:textId="77777777" w:rsidR="00F74FEA" w:rsidRPr="00981947" w:rsidRDefault="00F74FEA" w:rsidP="00F74FEA">
      <w:pPr>
        <w:spacing w:line="288" w:lineRule="auto"/>
        <w:rPr>
          <w:rFonts w:asciiTheme="minorBidi" w:hAnsiTheme="minorBidi" w:cstheme="minorBidi"/>
          <w:sz w:val="22"/>
          <w:szCs w:val="22"/>
        </w:rPr>
      </w:pPr>
      <w:r>
        <w:rPr>
          <w:rFonts w:asciiTheme="minorBidi" w:hAnsiTheme="minorBidi"/>
          <w:sz w:val="22"/>
        </w:rPr>
        <w:t>Teléfono: +49 (0)7454 793-7644</w:t>
      </w:r>
    </w:p>
    <w:p w14:paraId="75722D11" w14:textId="77777777" w:rsidR="00F74FEA" w:rsidRPr="00981947" w:rsidRDefault="00F74FEA" w:rsidP="00F74FEA">
      <w:pPr>
        <w:spacing w:line="288" w:lineRule="auto"/>
        <w:rPr>
          <w:rFonts w:asciiTheme="minorBidi" w:hAnsiTheme="minorBidi" w:cstheme="minorBidi"/>
          <w:sz w:val="22"/>
          <w:szCs w:val="22"/>
        </w:rPr>
      </w:pPr>
      <w:r>
        <w:rPr>
          <w:rFonts w:asciiTheme="minorBidi" w:hAnsiTheme="minorBidi"/>
          <w:sz w:val="22"/>
        </w:rPr>
        <w:t xml:space="preserve">Correo electrónico: andre.jerke@kipp.com </w:t>
      </w:r>
    </w:p>
    <w:p w14:paraId="3837DE7C" w14:textId="77777777" w:rsidR="00F74FEA" w:rsidRPr="00981947" w:rsidRDefault="00F74FEA" w:rsidP="00F74FEA">
      <w:pPr>
        <w:spacing w:line="288" w:lineRule="auto"/>
        <w:rPr>
          <w:rFonts w:asciiTheme="minorBidi" w:hAnsiTheme="minorBidi" w:cstheme="minorBidi"/>
          <w:sz w:val="22"/>
          <w:szCs w:val="22"/>
        </w:rPr>
      </w:pPr>
    </w:p>
    <w:p w14:paraId="525F17E2" w14:textId="77777777" w:rsidR="00F74FEA" w:rsidRPr="00981947" w:rsidRDefault="00F74FEA" w:rsidP="00F74FEA">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Oficina de Prensa: </w:t>
      </w:r>
    </w:p>
    <w:p w14:paraId="252414F7" w14:textId="77777777" w:rsidR="00F74FEA" w:rsidRPr="00981947" w:rsidRDefault="00F74FEA" w:rsidP="00F74FEA">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Köhler</w:t>
      </w:r>
      <w:proofErr w:type="spellEnd"/>
      <w:r>
        <w:rPr>
          <w:rFonts w:asciiTheme="minorBidi" w:hAnsiTheme="minorBidi"/>
          <w:color w:val="000000" w:themeColor="text1"/>
          <w:sz w:val="22"/>
        </w:rPr>
        <w:t xml:space="preserve"> + </w:t>
      </w:r>
      <w:proofErr w:type="spellStart"/>
      <w:r>
        <w:rPr>
          <w:rFonts w:asciiTheme="minorBidi" w:hAnsiTheme="minorBidi"/>
          <w:color w:val="000000" w:themeColor="text1"/>
          <w:sz w:val="22"/>
        </w:rPr>
        <w:t>Partner</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GmbH</w:t>
      </w:r>
      <w:proofErr w:type="spellEnd"/>
    </w:p>
    <w:p w14:paraId="744515BA" w14:textId="77777777" w:rsidR="00F74FEA" w:rsidRPr="00981947" w:rsidRDefault="00F74FEA" w:rsidP="00F74FEA">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Buchholz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195F8426" w14:textId="77777777" w:rsidR="00F74FEA" w:rsidRPr="00981947" w:rsidRDefault="00F74FEA" w:rsidP="00F74FEA">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Teléfono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005D57C9" w14:textId="77777777" w:rsidR="00F74FEA" w:rsidRPr="004B65A4" w:rsidRDefault="00F74FEA" w:rsidP="00F74FEA">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rl@koehler-partner.de</w:t>
      </w:r>
      <w:proofErr w:type="spellEnd"/>
      <w:r>
        <w:rPr>
          <w:rFonts w:asciiTheme="minorBidi" w:hAnsiTheme="minorBidi"/>
          <w:color w:val="000000" w:themeColor="text1"/>
          <w:sz w:val="22"/>
        </w:rPr>
        <w:t xml:space="preserv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6A458DED" w:rsidR="0005380A" w:rsidRPr="004B65A4" w:rsidRDefault="0005380A" w:rsidP="00F74FEA">
      <w:pPr>
        <w:spacing w:line="288" w:lineRule="auto"/>
        <w:rPr>
          <w:rFonts w:asciiTheme="minorBidi" w:hAnsiTheme="minorBidi" w:cstheme="minorBidi"/>
          <w:color w:val="000000" w:themeColor="text1"/>
          <w:sz w:val="22"/>
          <w:szCs w:val="22"/>
        </w:rPr>
      </w:pPr>
    </w:p>
    <w:sectPr w:rsidR="0005380A" w:rsidRPr="004B65A4" w:rsidSect="00D55C2E">
      <w:headerReference w:type="default" r:id="rId18"/>
      <w:footerReference w:type="default" r:id="rId19"/>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F59D" w14:textId="77777777" w:rsidR="00E958B3" w:rsidRDefault="00E958B3">
      <w:r>
        <w:separator/>
      </w:r>
    </w:p>
  </w:endnote>
  <w:endnote w:type="continuationSeparator" w:id="0">
    <w:p w14:paraId="1CD3E9AD" w14:textId="77777777" w:rsidR="00E958B3" w:rsidRDefault="00E9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D2DAD" w14:textId="77777777" w:rsidR="00E958B3" w:rsidRDefault="00E958B3">
      <w:r>
        <w:separator/>
      </w:r>
    </w:p>
  </w:footnote>
  <w:footnote w:type="continuationSeparator" w:id="0">
    <w:p w14:paraId="7FFD0BE2" w14:textId="77777777" w:rsidR="00E958B3" w:rsidRDefault="00E95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Nota de prensa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C160C"/>
    <w:multiLevelType w:val="hybridMultilevel"/>
    <w:tmpl w:val="DCB6AC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D111FE"/>
    <w:multiLevelType w:val="hybridMultilevel"/>
    <w:tmpl w:val="CDDC30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F4556DD"/>
    <w:multiLevelType w:val="hybridMultilevel"/>
    <w:tmpl w:val="637E4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5882841">
    <w:abstractNumId w:val="8"/>
  </w:num>
  <w:num w:numId="2" w16cid:durableId="128479171">
    <w:abstractNumId w:val="25"/>
  </w:num>
  <w:num w:numId="3" w16cid:durableId="571743848">
    <w:abstractNumId w:val="30"/>
  </w:num>
  <w:num w:numId="4" w16cid:durableId="182132502">
    <w:abstractNumId w:val="12"/>
  </w:num>
  <w:num w:numId="5" w16cid:durableId="1609002959">
    <w:abstractNumId w:val="2"/>
  </w:num>
  <w:num w:numId="6" w16cid:durableId="670378055">
    <w:abstractNumId w:val="32"/>
  </w:num>
  <w:num w:numId="7" w16cid:durableId="863908059">
    <w:abstractNumId w:val="4"/>
  </w:num>
  <w:num w:numId="8" w16cid:durableId="483353772">
    <w:abstractNumId w:val="19"/>
  </w:num>
  <w:num w:numId="9" w16cid:durableId="784076146">
    <w:abstractNumId w:val="10"/>
  </w:num>
  <w:num w:numId="10" w16cid:durableId="2081905331">
    <w:abstractNumId w:val="9"/>
  </w:num>
  <w:num w:numId="11" w16cid:durableId="787433334">
    <w:abstractNumId w:val="18"/>
  </w:num>
  <w:num w:numId="12" w16cid:durableId="1296833172">
    <w:abstractNumId w:val="34"/>
  </w:num>
  <w:num w:numId="13" w16cid:durableId="280692381">
    <w:abstractNumId w:val="24"/>
  </w:num>
  <w:num w:numId="14" w16cid:durableId="1834294224">
    <w:abstractNumId w:val="1"/>
  </w:num>
  <w:num w:numId="15" w16cid:durableId="1774931455">
    <w:abstractNumId w:val="16"/>
  </w:num>
  <w:num w:numId="16" w16cid:durableId="1572159529">
    <w:abstractNumId w:val="28"/>
  </w:num>
  <w:num w:numId="17" w16cid:durableId="26224671">
    <w:abstractNumId w:val="33"/>
  </w:num>
  <w:num w:numId="18" w16cid:durableId="1872263148">
    <w:abstractNumId w:val="29"/>
  </w:num>
  <w:num w:numId="19" w16cid:durableId="1423451183">
    <w:abstractNumId w:val="23"/>
  </w:num>
  <w:num w:numId="20" w16cid:durableId="1509179311">
    <w:abstractNumId w:val="31"/>
  </w:num>
  <w:num w:numId="21" w16cid:durableId="1324815762">
    <w:abstractNumId w:val="5"/>
  </w:num>
  <w:num w:numId="22" w16cid:durableId="940531108">
    <w:abstractNumId w:val="7"/>
  </w:num>
  <w:num w:numId="23" w16cid:durableId="1518084097">
    <w:abstractNumId w:val="20"/>
  </w:num>
  <w:num w:numId="24" w16cid:durableId="983854282">
    <w:abstractNumId w:val="21"/>
  </w:num>
  <w:num w:numId="25" w16cid:durableId="598487662">
    <w:abstractNumId w:val="27"/>
  </w:num>
  <w:num w:numId="26" w16cid:durableId="1265259766">
    <w:abstractNumId w:val="15"/>
  </w:num>
  <w:num w:numId="27" w16cid:durableId="1625233327">
    <w:abstractNumId w:val="17"/>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6"/>
  </w:num>
  <w:num w:numId="33" w16cid:durableId="543370529">
    <w:abstractNumId w:val="0"/>
  </w:num>
  <w:num w:numId="34" w16cid:durableId="76440237">
    <w:abstractNumId w:val="22"/>
  </w:num>
  <w:num w:numId="35" w16cid:durableId="1900506706">
    <w:abstractNumId w:val="35"/>
  </w:num>
  <w:num w:numId="36" w16cid:durableId="5908929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D4E9C"/>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11510"/>
    <w:rsid w:val="001117AE"/>
    <w:rsid w:val="001123FE"/>
    <w:rsid w:val="00113E1F"/>
    <w:rsid w:val="00113F5D"/>
    <w:rsid w:val="001141CC"/>
    <w:rsid w:val="001143E2"/>
    <w:rsid w:val="001158D0"/>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085C"/>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5E91"/>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5AC"/>
    <w:rsid w:val="001C7F61"/>
    <w:rsid w:val="001D0511"/>
    <w:rsid w:val="001D0B92"/>
    <w:rsid w:val="001D2551"/>
    <w:rsid w:val="001D46C1"/>
    <w:rsid w:val="001D7272"/>
    <w:rsid w:val="001D746F"/>
    <w:rsid w:val="001D7EAF"/>
    <w:rsid w:val="001E035C"/>
    <w:rsid w:val="001E29BC"/>
    <w:rsid w:val="001E3C18"/>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7F9"/>
    <w:rsid w:val="0028089D"/>
    <w:rsid w:val="00283808"/>
    <w:rsid w:val="002864A0"/>
    <w:rsid w:val="00286844"/>
    <w:rsid w:val="002871F8"/>
    <w:rsid w:val="0028732B"/>
    <w:rsid w:val="00287B61"/>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490"/>
    <w:rsid w:val="00351C35"/>
    <w:rsid w:val="00352AF0"/>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5A40"/>
    <w:rsid w:val="003F6AFC"/>
    <w:rsid w:val="003F738C"/>
    <w:rsid w:val="003F7680"/>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0E0B"/>
    <w:rsid w:val="0042198B"/>
    <w:rsid w:val="00421FF7"/>
    <w:rsid w:val="004221BC"/>
    <w:rsid w:val="0042262B"/>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42E2"/>
    <w:rsid w:val="00475233"/>
    <w:rsid w:val="00475D4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3CCB"/>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D6E5D"/>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7499"/>
    <w:rsid w:val="00620127"/>
    <w:rsid w:val="00620649"/>
    <w:rsid w:val="0062080D"/>
    <w:rsid w:val="006220B9"/>
    <w:rsid w:val="00622686"/>
    <w:rsid w:val="00624CC8"/>
    <w:rsid w:val="00626987"/>
    <w:rsid w:val="006270B4"/>
    <w:rsid w:val="00631171"/>
    <w:rsid w:val="0063307B"/>
    <w:rsid w:val="00634032"/>
    <w:rsid w:val="00636F3D"/>
    <w:rsid w:val="00642611"/>
    <w:rsid w:val="00643933"/>
    <w:rsid w:val="00645FBD"/>
    <w:rsid w:val="00650222"/>
    <w:rsid w:val="00650F39"/>
    <w:rsid w:val="00651825"/>
    <w:rsid w:val="00652A6E"/>
    <w:rsid w:val="00652DD7"/>
    <w:rsid w:val="006547F2"/>
    <w:rsid w:val="00657068"/>
    <w:rsid w:val="0065730A"/>
    <w:rsid w:val="006578BE"/>
    <w:rsid w:val="00660C51"/>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B2CE7"/>
    <w:rsid w:val="006B2D7E"/>
    <w:rsid w:val="006B343F"/>
    <w:rsid w:val="006B51E1"/>
    <w:rsid w:val="006B5938"/>
    <w:rsid w:val="006B5E58"/>
    <w:rsid w:val="006B773C"/>
    <w:rsid w:val="006C0D0A"/>
    <w:rsid w:val="006C3129"/>
    <w:rsid w:val="006C3573"/>
    <w:rsid w:val="006C3F70"/>
    <w:rsid w:val="006C4EFB"/>
    <w:rsid w:val="006C55A1"/>
    <w:rsid w:val="006C5732"/>
    <w:rsid w:val="006C63DB"/>
    <w:rsid w:val="006D25C1"/>
    <w:rsid w:val="006D25DD"/>
    <w:rsid w:val="006D338D"/>
    <w:rsid w:val="006D507B"/>
    <w:rsid w:val="006D52A6"/>
    <w:rsid w:val="006D674C"/>
    <w:rsid w:val="006D7A34"/>
    <w:rsid w:val="006E09D7"/>
    <w:rsid w:val="006E0EC7"/>
    <w:rsid w:val="006E1313"/>
    <w:rsid w:val="006E14A6"/>
    <w:rsid w:val="006E2F84"/>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AA5"/>
    <w:rsid w:val="00761F78"/>
    <w:rsid w:val="00766BA6"/>
    <w:rsid w:val="007677AC"/>
    <w:rsid w:val="00767B93"/>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6C1"/>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324"/>
    <w:rsid w:val="007B6753"/>
    <w:rsid w:val="007B7C67"/>
    <w:rsid w:val="007C208F"/>
    <w:rsid w:val="007C3DC7"/>
    <w:rsid w:val="007C52A3"/>
    <w:rsid w:val="007C531D"/>
    <w:rsid w:val="007C6C74"/>
    <w:rsid w:val="007D2043"/>
    <w:rsid w:val="007D6394"/>
    <w:rsid w:val="007E1B9C"/>
    <w:rsid w:val="007E225B"/>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2D06"/>
    <w:rsid w:val="008F3BA6"/>
    <w:rsid w:val="008F3E41"/>
    <w:rsid w:val="008F443E"/>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4C04"/>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1F71"/>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F09F8"/>
    <w:rsid w:val="009F10F7"/>
    <w:rsid w:val="009F166F"/>
    <w:rsid w:val="009F39DA"/>
    <w:rsid w:val="009F3C6C"/>
    <w:rsid w:val="009F48EF"/>
    <w:rsid w:val="009F5856"/>
    <w:rsid w:val="009F6DC0"/>
    <w:rsid w:val="009F78F5"/>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50A"/>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458C"/>
    <w:rsid w:val="00B151F7"/>
    <w:rsid w:val="00B15B62"/>
    <w:rsid w:val="00B213FE"/>
    <w:rsid w:val="00B234EB"/>
    <w:rsid w:val="00B257F0"/>
    <w:rsid w:val="00B308E7"/>
    <w:rsid w:val="00B32D7E"/>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0E11"/>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5ED8"/>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5E13"/>
    <w:rsid w:val="00C873E0"/>
    <w:rsid w:val="00C94245"/>
    <w:rsid w:val="00C9451A"/>
    <w:rsid w:val="00C95565"/>
    <w:rsid w:val="00C96062"/>
    <w:rsid w:val="00C972C7"/>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6D3"/>
    <w:rsid w:val="00CD6197"/>
    <w:rsid w:val="00CD63A2"/>
    <w:rsid w:val="00CE6418"/>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FA"/>
    <w:rsid w:val="00D249E7"/>
    <w:rsid w:val="00D24AE7"/>
    <w:rsid w:val="00D26DA0"/>
    <w:rsid w:val="00D30533"/>
    <w:rsid w:val="00D31847"/>
    <w:rsid w:val="00D31AB2"/>
    <w:rsid w:val="00D31F89"/>
    <w:rsid w:val="00D32C5C"/>
    <w:rsid w:val="00D33013"/>
    <w:rsid w:val="00D34A8D"/>
    <w:rsid w:val="00D361B2"/>
    <w:rsid w:val="00D37C73"/>
    <w:rsid w:val="00D40A15"/>
    <w:rsid w:val="00D413DE"/>
    <w:rsid w:val="00D418B7"/>
    <w:rsid w:val="00D42054"/>
    <w:rsid w:val="00D43778"/>
    <w:rsid w:val="00D43895"/>
    <w:rsid w:val="00D45AE7"/>
    <w:rsid w:val="00D46878"/>
    <w:rsid w:val="00D5588A"/>
    <w:rsid w:val="00D55C2E"/>
    <w:rsid w:val="00D579E9"/>
    <w:rsid w:val="00D60C4E"/>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16C7"/>
    <w:rsid w:val="00DC2196"/>
    <w:rsid w:val="00DC277F"/>
    <w:rsid w:val="00DC38CD"/>
    <w:rsid w:val="00DC6574"/>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17466"/>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25DE"/>
    <w:rsid w:val="00E63102"/>
    <w:rsid w:val="00E6340E"/>
    <w:rsid w:val="00E63526"/>
    <w:rsid w:val="00E63B2C"/>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5772"/>
    <w:rsid w:val="00E958B3"/>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C6E21"/>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4FE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ipp.es/es/" TargetMode="External"/><Relationship Id="rId17" Type="http://schemas.openxmlformats.org/officeDocument/2006/relationships/hyperlink" Target="https://www.koehler-partner.de/pressezentrum/kipp" TargetMode="External"/><Relationship Id="rId2" Type="http://schemas.openxmlformats.org/officeDocument/2006/relationships/customXml" Target="../customXml/item2.xml"/><Relationship Id="rId16" Type="http://schemas.openxmlformats.org/officeDocument/2006/relationships/hyperlink" Target="https://www.kipp.es/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es/es/Productos/ELEMENTOS-DE-MANDO/Tecnolog%C3%ADa-de-transporte/Rodillos-gu%C3%ADa/c/35106" TargetMode="External"/><Relationship Id="rId5" Type="http://schemas.openxmlformats.org/officeDocument/2006/relationships/numbering" Target="numbering.xml"/><Relationship Id="rId15" Type="http://schemas.openxmlformats.org/officeDocument/2006/relationships/hyperlink" Target="https://www.kipp.es/es/Productos/ELEMENTOS-DE-MANDO/Tecnolog%C3%ADa-de-transporte/Rodillos-gu%C3%ADa/c/3510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2.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3.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3BA91-E557-42C5-95BD-63375713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760</Words>
  <Characters>4793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5542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2026-04-13T08:37:00Z</dcterms:created>
  <dcterms:modified xsi:type="dcterms:W3CDTF">2026-04-13T08:37:00Z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