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4624D" w14:textId="77777777" w:rsidR="003E1B1A" w:rsidRPr="008A281B" w:rsidRDefault="003E1B1A" w:rsidP="008A281B">
      <w:pPr>
        <w:suppressAutoHyphens/>
        <w:spacing w:line="288" w:lineRule="auto"/>
        <w:jc w:val="right"/>
        <w:rPr>
          <w:rFonts w:asciiTheme="minorBidi" w:hAnsiTheme="minorBidi" w:cstheme="minorBidi"/>
          <w:szCs w:val="22"/>
        </w:rPr>
      </w:pPr>
    </w:p>
    <w:p w14:paraId="6421D362" w14:textId="71FAFE91" w:rsidR="005C5142" w:rsidRPr="008A281B" w:rsidRDefault="005C5142" w:rsidP="008A281B">
      <w:pPr>
        <w:tabs>
          <w:tab w:val="right" w:pos="9072"/>
        </w:tabs>
        <w:suppressAutoHyphens/>
        <w:spacing w:line="288" w:lineRule="auto"/>
        <w:jc w:val="right"/>
        <w:rPr>
          <w:rFonts w:asciiTheme="minorBidi" w:hAnsiTheme="minorBidi" w:cstheme="minorBidi"/>
          <w:color w:val="808080"/>
          <w:szCs w:val="22"/>
        </w:rPr>
      </w:pPr>
    </w:p>
    <w:p w14:paraId="4ADC2599" w14:textId="18A7522B" w:rsidR="0051239F" w:rsidRPr="008A281B" w:rsidRDefault="003159E4" w:rsidP="008A281B">
      <w:pPr>
        <w:tabs>
          <w:tab w:val="right" w:pos="9072"/>
        </w:tabs>
        <w:suppressAutoHyphens/>
        <w:spacing w:line="288" w:lineRule="auto"/>
        <w:jc w:val="right"/>
        <w:rPr>
          <w:rFonts w:asciiTheme="minorBidi" w:hAnsiTheme="minorBidi" w:cstheme="minorBidi"/>
          <w:color w:val="000000" w:themeColor="text1"/>
          <w:szCs w:val="22"/>
        </w:rPr>
      </w:pPr>
      <w:r w:rsidRPr="008A281B">
        <w:rPr>
          <w:rFonts w:asciiTheme="minorBidi" w:hAnsiTheme="minorBidi" w:cstheme="minorBidi"/>
          <w:color w:val="000000" w:themeColor="text1"/>
          <w:szCs w:val="22"/>
        </w:rPr>
        <w:t>March 20</w:t>
      </w:r>
      <w:r w:rsidRPr="008A281B">
        <w:rPr>
          <w:rFonts w:asciiTheme="minorBidi" w:hAnsiTheme="minorBidi" w:cstheme="minorBidi"/>
          <w:color w:val="000000" w:themeColor="text1"/>
          <w:szCs w:val="22"/>
          <w:vertAlign w:val="superscript"/>
        </w:rPr>
        <w:t>th</w:t>
      </w:r>
      <w:r w:rsidR="009E2F95" w:rsidRPr="008A281B">
        <w:rPr>
          <w:rFonts w:asciiTheme="minorBidi" w:hAnsiTheme="minorBidi" w:cstheme="minorBidi"/>
          <w:color w:val="000000" w:themeColor="text1"/>
          <w:szCs w:val="22"/>
        </w:rPr>
        <w:t>, 2024</w:t>
      </w:r>
    </w:p>
    <w:p w14:paraId="3134C8DF" w14:textId="77777777" w:rsidR="0051239F" w:rsidRDefault="0051239F"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p>
    <w:p w14:paraId="6D013320" w14:textId="77777777" w:rsidR="00A04869" w:rsidRPr="008A281B" w:rsidRDefault="00A04869"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p>
    <w:p w14:paraId="294A4E98" w14:textId="406EDCBF" w:rsidR="0051239F" w:rsidRPr="008A281B" w:rsidRDefault="00B66BC2"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r w:rsidRPr="008A281B">
        <w:rPr>
          <w:rFonts w:asciiTheme="minorBidi" w:hAnsiTheme="minorBidi" w:cstheme="minorBidi"/>
          <w:szCs w:val="22"/>
        </w:rPr>
        <w:t>CTX acquires stake in Italian heat sink manufacturer PADA Engineering</w:t>
      </w:r>
    </w:p>
    <w:p w14:paraId="76AC6B56" w14:textId="2383F719" w:rsidR="001A0DEE" w:rsidRPr="008A281B" w:rsidRDefault="00446CDC"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bCs/>
          <w:szCs w:val="22"/>
        </w:rPr>
      </w:pPr>
      <w:r w:rsidRPr="008A281B">
        <w:rPr>
          <w:rFonts w:asciiTheme="minorBidi" w:hAnsiTheme="minorBidi" w:cstheme="minorBidi"/>
          <w:b/>
          <w:szCs w:val="22"/>
        </w:rPr>
        <w:t>Further intensification of successful partnership</w:t>
      </w:r>
    </w:p>
    <w:p w14:paraId="22B5F869" w14:textId="77777777" w:rsidR="0051239F" w:rsidRPr="008A281B" w:rsidRDefault="0051239F"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63C69E6C" w14:textId="4CF665A6" w:rsidR="00980024" w:rsidRPr="008A281B" w:rsidRDefault="00446CDC"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8A281B">
        <w:rPr>
          <w:rFonts w:asciiTheme="minorBidi" w:hAnsiTheme="minorBidi" w:cstheme="minorBidi"/>
          <w:b/>
          <w:szCs w:val="22"/>
        </w:rPr>
        <w:t>For nearly 25 years, CTX and PADA Engineering have enjoyed an intensive partnership based on mutual confidence. Now, the two companies have brought their successful relationship to a new level: CTX has acquired a stake in the Italian manufacturer of cooling components. Sales and Marketing at CTX and PADA will cooperate even more closely – with numerous benefits for their customers.</w:t>
      </w:r>
    </w:p>
    <w:p w14:paraId="1F9E1CAC" w14:textId="77777777" w:rsidR="00980024" w:rsidRPr="008A281B" w:rsidRDefault="00980024"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35DC5229" w14:textId="17C6FC8C" w:rsidR="00CD7242" w:rsidRPr="008A281B" w:rsidRDefault="00A7098A" w:rsidP="008A281B">
      <w:pPr>
        <w:tabs>
          <w:tab w:val="left" w:pos="-1620"/>
          <w:tab w:val="center" w:pos="6840"/>
          <w:tab w:val="center" w:pos="7380"/>
          <w:tab w:val="center" w:pos="7560"/>
          <w:tab w:val="center" w:pos="9540"/>
        </w:tabs>
        <w:suppressAutoHyphens/>
        <w:spacing w:line="288" w:lineRule="auto"/>
        <w:ind w:right="284"/>
        <w:rPr>
          <w:rFonts w:asciiTheme="minorBidi" w:hAnsiTheme="minorBidi" w:cstheme="minorBidi"/>
          <w:szCs w:val="22"/>
        </w:rPr>
      </w:pPr>
      <w:r w:rsidRPr="008A281B">
        <w:rPr>
          <w:rFonts w:asciiTheme="minorBidi" w:hAnsiTheme="minorBidi" w:cstheme="minorBidi"/>
          <w:szCs w:val="22"/>
        </w:rPr>
        <w:t>PADA Engineering, with headquarters in Calcinelli near Rimini, has supplied CTX with profile and liquid-cooled heat sinks for nearly 25 years. The long-standing Italian enterprise, which has been developing and manufacturing cooling components for electronic devices since the nineties, is a market leader in the industry.</w:t>
      </w:r>
    </w:p>
    <w:p w14:paraId="603A011C" w14:textId="77777777" w:rsidR="00CD7242" w:rsidRPr="008A281B" w:rsidRDefault="00CD7242" w:rsidP="008A281B">
      <w:pPr>
        <w:tabs>
          <w:tab w:val="left" w:pos="-1620"/>
          <w:tab w:val="center" w:pos="6840"/>
          <w:tab w:val="center" w:pos="7380"/>
          <w:tab w:val="center" w:pos="7560"/>
          <w:tab w:val="center" w:pos="9540"/>
        </w:tabs>
        <w:suppressAutoHyphens/>
        <w:spacing w:line="288" w:lineRule="auto"/>
        <w:ind w:right="284"/>
        <w:rPr>
          <w:rFonts w:asciiTheme="minorBidi" w:hAnsiTheme="minorBidi" w:cstheme="minorBidi"/>
          <w:szCs w:val="22"/>
        </w:rPr>
      </w:pPr>
    </w:p>
    <w:p w14:paraId="61B8B0F0" w14:textId="5BD92981" w:rsidR="00CD7242" w:rsidRPr="008A281B" w:rsidRDefault="00CD7242"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8A281B">
        <w:rPr>
          <w:rFonts w:asciiTheme="minorBidi" w:hAnsiTheme="minorBidi" w:cstheme="minorBidi"/>
          <w:b/>
          <w:szCs w:val="22"/>
        </w:rPr>
        <w:t>Worldwide on-demand delivery</w:t>
      </w:r>
    </w:p>
    <w:p w14:paraId="46FF95B0" w14:textId="260BB4E7" w:rsidR="001C1273" w:rsidRPr="008A281B" w:rsidRDefault="00713950" w:rsidP="008A281B">
      <w:pPr>
        <w:tabs>
          <w:tab w:val="left" w:pos="-1620"/>
          <w:tab w:val="center" w:pos="6840"/>
          <w:tab w:val="center" w:pos="7380"/>
          <w:tab w:val="center" w:pos="7560"/>
          <w:tab w:val="center" w:pos="9540"/>
        </w:tabs>
        <w:suppressAutoHyphens/>
        <w:spacing w:line="288" w:lineRule="auto"/>
        <w:ind w:right="284"/>
        <w:rPr>
          <w:rFonts w:asciiTheme="minorBidi" w:hAnsiTheme="minorBidi" w:cstheme="minorBidi"/>
          <w:szCs w:val="22"/>
        </w:rPr>
      </w:pPr>
      <w:r w:rsidRPr="008A281B">
        <w:rPr>
          <w:rFonts w:asciiTheme="minorBidi" w:hAnsiTheme="minorBidi" w:cstheme="minorBidi"/>
          <w:szCs w:val="22"/>
        </w:rPr>
        <w:t>The acquisition of a stake by CTX will benefit especially the customers of both companies: Faster implementation of customer requirements, shorter and faster delivery chains, increased local-to-local content. Plans also include expansion of the CTX delivery portfolio from Italy to include further heat sink technologies, such as skived-fin heat sinks. Moreover, the current suppliers will be retained to ensure worldwide on-demand delivery as in the past.</w:t>
      </w:r>
    </w:p>
    <w:p w14:paraId="2B4F4032" w14:textId="77777777" w:rsidR="00CD7242" w:rsidRPr="008A281B" w:rsidRDefault="00CD7242" w:rsidP="008A281B">
      <w:pPr>
        <w:tabs>
          <w:tab w:val="left" w:pos="-1620"/>
          <w:tab w:val="center" w:pos="6840"/>
          <w:tab w:val="center" w:pos="7380"/>
          <w:tab w:val="center" w:pos="7560"/>
          <w:tab w:val="center" w:pos="9540"/>
        </w:tabs>
        <w:suppressAutoHyphens/>
        <w:spacing w:line="288" w:lineRule="auto"/>
        <w:ind w:right="284"/>
        <w:rPr>
          <w:rFonts w:asciiTheme="minorBidi" w:hAnsiTheme="minorBidi" w:cstheme="minorBidi"/>
          <w:color w:val="008000"/>
          <w:szCs w:val="22"/>
        </w:rPr>
      </w:pPr>
    </w:p>
    <w:p w14:paraId="58C6347A" w14:textId="1B431535" w:rsidR="00CD7242" w:rsidRPr="008A281B" w:rsidRDefault="00CD7242" w:rsidP="008A281B">
      <w:pPr>
        <w:tabs>
          <w:tab w:val="left" w:pos="-1620"/>
          <w:tab w:val="center" w:pos="6840"/>
          <w:tab w:val="center" w:pos="7380"/>
          <w:tab w:val="center" w:pos="7560"/>
          <w:tab w:val="center" w:pos="9540"/>
        </w:tabs>
        <w:suppressAutoHyphens/>
        <w:spacing w:line="288" w:lineRule="auto"/>
        <w:ind w:right="284"/>
        <w:rPr>
          <w:rFonts w:asciiTheme="minorBidi" w:hAnsiTheme="minorBidi" w:cstheme="minorBidi"/>
          <w:szCs w:val="22"/>
        </w:rPr>
      </w:pPr>
      <w:r w:rsidRPr="008A281B">
        <w:rPr>
          <w:rFonts w:asciiTheme="minorBidi" w:hAnsiTheme="minorBidi" w:cstheme="minorBidi"/>
          <w:szCs w:val="22"/>
        </w:rPr>
        <w:t>“In retrospect, our stake in PADA is a well-thought-out decision,” says Wilfried Schmitz, CEO of CTX. “We value our relationship and look forward to intensifying our cooperation in the future to achieve our full potential.”</w:t>
      </w:r>
    </w:p>
    <w:p w14:paraId="239D396D" w14:textId="2EE95242" w:rsidR="001C1273" w:rsidRPr="008A281B" w:rsidRDefault="001C1273"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28D160BF" w14:textId="79CBD7EC" w:rsidR="007664A9" w:rsidRPr="008A281B" w:rsidRDefault="0043343B"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8A281B">
        <w:rPr>
          <w:rFonts w:asciiTheme="minorBidi" w:hAnsiTheme="minorBidi" w:cstheme="minorBidi"/>
          <w:szCs w:val="22"/>
        </w:rPr>
        <w:t>Benedetta Fiorani, Managing Director of PADA, adds: "We are proud to have sealed the mutual trust gained over the years with this operation. We are certain that together we can grow to give our customers the best support."</w:t>
      </w:r>
    </w:p>
    <w:p w14:paraId="0556010A" w14:textId="77777777" w:rsidR="0043343B" w:rsidRPr="008A281B" w:rsidRDefault="0043343B"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6B46928D" w14:textId="13CE55EA" w:rsidR="00C20617" w:rsidRPr="008A281B" w:rsidRDefault="00980024" w:rsidP="008A281B">
      <w:pPr>
        <w:tabs>
          <w:tab w:val="left" w:pos="-1620"/>
          <w:tab w:val="center" w:pos="6840"/>
          <w:tab w:val="center" w:pos="7380"/>
          <w:tab w:val="center" w:pos="7560"/>
          <w:tab w:val="center" w:pos="9540"/>
        </w:tabs>
        <w:suppressAutoHyphens/>
        <w:spacing w:after="120" w:line="288" w:lineRule="auto"/>
        <w:ind w:right="284"/>
        <w:rPr>
          <w:rFonts w:asciiTheme="minorBidi" w:hAnsiTheme="minorBidi" w:cstheme="minorBidi"/>
          <w:b/>
          <w:bCs/>
          <w:szCs w:val="22"/>
        </w:rPr>
      </w:pPr>
      <w:r w:rsidRPr="008A281B">
        <w:rPr>
          <w:rFonts w:asciiTheme="minorBidi" w:hAnsiTheme="minorBidi" w:cstheme="minorBidi"/>
          <w:b/>
          <w:szCs w:val="22"/>
        </w:rPr>
        <w:t>CTX heat sinks</w:t>
      </w:r>
    </w:p>
    <w:p w14:paraId="75F92F95" w14:textId="593CC6F5" w:rsidR="0051239F" w:rsidRPr="008A281B" w:rsidRDefault="00A33E4E" w:rsidP="008A281B">
      <w:pPr>
        <w:tabs>
          <w:tab w:val="left" w:pos="-1620"/>
          <w:tab w:val="center" w:pos="6840"/>
          <w:tab w:val="center" w:pos="7380"/>
          <w:tab w:val="center" w:pos="7560"/>
          <w:tab w:val="center" w:pos="9540"/>
        </w:tabs>
        <w:suppressAutoHyphens/>
        <w:spacing w:after="120" w:line="288" w:lineRule="auto"/>
        <w:ind w:right="284"/>
        <w:rPr>
          <w:rFonts w:asciiTheme="minorBidi" w:hAnsiTheme="minorBidi" w:cstheme="minorBidi"/>
          <w:szCs w:val="22"/>
        </w:rPr>
      </w:pPr>
      <w:r w:rsidRPr="008A281B">
        <w:rPr>
          <w:rFonts w:asciiTheme="minorBidi" w:hAnsiTheme="minorBidi" w:cstheme="minorBidi"/>
          <w:szCs w:val="22"/>
        </w:rPr>
        <w:t>With application-specific cooling solutions for industrial power electronics, CTX is among the European leaders in this sector. Depending on the required specifications, the Nettetal-based company uses a broad range of manufacturing processes. Currently, profile and liquid-cooled heat sinks are delivered from Italy. This portfolio will soon be expanded to include other products, such as skived-fin heat sinks.</w:t>
      </w:r>
    </w:p>
    <w:p w14:paraId="164AAA72" w14:textId="51F32860" w:rsidR="005B1BA1" w:rsidRPr="008A281B" w:rsidRDefault="005B1BA1" w:rsidP="008A281B">
      <w:pPr>
        <w:tabs>
          <w:tab w:val="left" w:pos="-1620"/>
          <w:tab w:val="center" w:pos="6840"/>
          <w:tab w:val="center" w:pos="7380"/>
          <w:tab w:val="center" w:pos="7560"/>
          <w:tab w:val="center" w:pos="9540"/>
        </w:tabs>
        <w:suppressAutoHyphens/>
        <w:spacing w:after="120" w:line="288" w:lineRule="auto"/>
        <w:ind w:right="284"/>
        <w:rPr>
          <w:rFonts w:asciiTheme="minorBidi" w:hAnsiTheme="minorBidi" w:cstheme="minorBidi"/>
          <w:szCs w:val="22"/>
        </w:rPr>
      </w:pPr>
      <w:r w:rsidRPr="008A281B">
        <w:rPr>
          <w:rFonts w:asciiTheme="minorBidi" w:hAnsiTheme="minorBidi" w:cstheme="minorBidi"/>
          <w:szCs w:val="22"/>
        </w:rPr>
        <w:t xml:space="preserve">Profile heat sinks – also known as extruded heat sinks, based on the manufacturing process – are the classic method for cooling power electronics. They are generally manufactured from an aluminum extruded alloy with a thermal conductivity of 180 W/mK. Their fins provide a large cooling surface for effective heat dissipation through natural </w:t>
      </w:r>
      <w:r w:rsidRPr="008A281B">
        <w:rPr>
          <w:rFonts w:asciiTheme="minorBidi" w:hAnsiTheme="minorBidi" w:cstheme="minorBidi"/>
          <w:szCs w:val="22"/>
        </w:rPr>
        <w:lastRenderedPageBreak/>
        <w:t>convection. Profile heat sinks therefore ensure the stable operation of electronic components and a long service life.</w:t>
      </w:r>
    </w:p>
    <w:p w14:paraId="58420DF2" w14:textId="49E8E6B0" w:rsidR="005B1BA1" w:rsidRPr="008A281B" w:rsidRDefault="00F21AEF" w:rsidP="008A281B">
      <w:pPr>
        <w:tabs>
          <w:tab w:val="left" w:pos="-1620"/>
          <w:tab w:val="center" w:pos="6840"/>
          <w:tab w:val="center" w:pos="7380"/>
          <w:tab w:val="center" w:pos="7560"/>
          <w:tab w:val="center" w:pos="9540"/>
        </w:tabs>
        <w:suppressAutoHyphens/>
        <w:spacing w:after="120" w:line="288" w:lineRule="auto"/>
        <w:ind w:right="284"/>
        <w:rPr>
          <w:rFonts w:asciiTheme="minorBidi" w:hAnsiTheme="minorBidi" w:cstheme="minorBidi"/>
          <w:szCs w:val="22"/>
        </w:rPr>
      </w:pPr>
      <w:r w:rsidRPr="008A281B">
        <w:rPr>
          <w:rFonts w:asciiTheme="minorBidi" w:hAnsiTheme="minorBidi" w:cstheme="minorBidi"/>
          <w:szCs w:val="22"/>
        </w:rPr>
        <w:t>Liquid-cooled heat sinks are still the most efficient cooling solution for power electronics. Mounted directly at the hot spot, these compact, high-performance heat sinks dissipate heat quickly. Typical applications include battery management systems in electric vehicles, medical engineering, renewable energy technologies, and high-voltage inverters.</w:t>
      </w:r>
    </w:p>
    <w:p w14:paraId="6F60C342" w14:textId="60A8817C" w:rsidR="00F21AEF" w:rsidRPr="008A281B" w:rsidRDefault="00362A48" w:rsidP="008A281B">
      <w:pPr>
        <w:tabs>
          <w:tab w:val="left" w:pos="-1620"/>
          <w:tab w:val="center" w:pos="6840"/>
          <w:tab w:val="center" w:pos="7380"/>
          <w:tab w:val="center" w:pos="7560"/>
          <w:tab w:val="center" w:pos="9540"/>
        </w:tabs>
        <w:suppressAutoHyphens/>
        <w:spacing w:after="120" w:line="288" w:lineRule="auto"/>
        <w:ind w:right="284"/>
        <w:rPr>
          <w:rFonts w:asciiTheme="minorBidi" w:hAnsiTheme="minorBidi" w:cstheme="minorBidi"/>
          <w:szCs w:val="22"/>
        </w:rPr>
      </w:pPr>
      <w:r w:rsidRPr="008A281B">
        <w:rPr>
          <w:rFonts w:asciiTheme="minorBidi" w:hAnsiTheme="minorBidi" w:cstheme="minorBidi"/>
          <w:szCs w:val="22"/>
        </w:rPr>
        <w:t>The cooling fins of skived-fin heat sinks are carved from a single aluminum or copper block, with no interruption in the connection between the fins and the heat sink. This produces high-density heat sinks with very fine and high fins that are directly connected with the heat sink base. The process also ensures high specific power density.</w:t>
      </w:r>
    </w:p>
    <w:p w14:paraId="54870033" w14:textId="77777777" w:rsidR="00905100" w:rsidRPr="008A281B" w:rsidRDefault="00905100"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0FB53B55" w14:textId="7D1CFA3F" w:rsidR="0051239F" w:rsidRPr="008A281B" w:rsidRDefault="0051239F"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8A281B">
        <w:rPr>
          <w:rFonts w:asciiTheme="minorBidi" w:hAnsiTheme="minorBidi" w:cstheme="minorBidi"/>
          <w:szCs w:val="22"/>
        </w:rPr>
        <w:t>(</w:t>
      </w:r>
      <w:r w:rsidR="00947DDB" w:rsidRPr="008A281B">
        <w:rPr>
          <w:rFonts w:asciiTheme="minorBidi" w:hAnsiTheme="minorBidi" w:cstheme="minorBidi"/>
          <w:szCs w:val="22"/>
        </w:rPr>
        <w:t>3,214</w:t>
      </w:r>
      <w:r w:rsidRPr="008A281B">
        <w:rPr>
          <w:rFonts w:asciiTheme="minorBidi" w:hAnsiTheme="minorBidi" w:cstheme="minorBidi"/>
          <w:szCs w:val="22"/>
        </w:rPr>
        <w:t xml:space="preserve"> characters including blanks)</w:t>
      </w:r>
    </w:p>
    <w:p w14:paraId="5A5E2257" w14:textId="77777777" w:rsidR="007A02BA" w:rsidRPr="008A281B" w:rsidRDefault="007A02BA"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32D76769" w14:textId="77777777" w:rsidR="00454418" w:rsidRPr="008A281B" w:rsidRDefault="00454418"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03B48945" w14:textId="146DDF1B" w:rsidR="00DF6D7B" w:rsidRPr="008A281B" w:rsidRDefault="007A02BA"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bCs/>
          <w:szCs w:val="22"/>
        </w:rPr>
      </w:pPr>
      <w:r w:rsidRPr="008A281B">
        <w:rPr>
          <w:rFonts w:asciiTheme="minorBidi" w:hAnsiTheme="minorBidi" w:cstheme="minorBidi"/>
          <w:b/>
          <w:szCs w:val="22"/>
        </w:rPr>
        <w:t>About PADA Engineering</w:t>
      </w:r>
    </w:p>
    <w:p w14:paraId="589EB841" w14:textId="6B2B6B8E" w:rsidR="007A02BA" w:rsidRPr="008A281B" w:rsidRDefault="006B6832"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8A281B">
        <w:rPr>
          <w:rFonts w:asciiTheme="minorBidi" w:hAnsiTheme="minorBidi" w:cstheme="minorBidi"/>
          <w:szCs w:val="22"/>
        </w:rPr>
        <w:t>PADA Engineering was established in 1975 in Calcinelli, Italy, as a manufacturer of components for top-quality furniture. Over the years, the company developed extensive expertise in working with aluminum, as the basis for creating exquisite furniture details. In the early 1990s, the company started using this expertise to manufacture heat sinks, thus diversifying its production. PADA Engineering soon assumed a leading position in the production of high-performance heat sinks, so the company can now claim recognition as a worldwide market leader in the production of heat sinks. Approximately 70 dynamic and competent employees are responsible for the global delivery of PADA Engineering products. Their collective expertise and commitment ensure efficient processes and exceptional service around the world.</w:t>
      </w:r>
    </w:p>
    <w:p w14:paraId="0CF66CE6" w14:textId="77777777" w:rsidR="00867D20" w:rsidRPr="008A281B" w:rsidRDefault="00867D20"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1FA47799" w14:textId="3BE5D1E8" w:rsidR="00206AB0" w:rsidRPr="008A281B" w:rsidRDefault="00206AB0"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8A281B">
        <w:rPr>
          <w:rFonts w:asciiTheme="minorBidi" w:hAnsiTheme="minorBidi" w:cstheme="minorBidi"/>
          <w:szCs w:val="22"/>
        </w:rPr>
        <w:t>(</w:t>
      </w:r>
      <w:r w:rsidR="00454418" w:rsidRPr="008A281B">
        <w:rPr>
          <w:rFonts w:asciiTheme="minorBidi" w:hAnsiTheme="minorBidi" w:cstheme="minorBidi"/>
          <w:szCs w:val="22"/>
        </w:rPr>
        <w:t>814</w:t>
      </w:r>
      <w:r w:rsidRPr="008A281B">
        <w:rPr>
          <w:rFonts w:asciiTheme="minorBidi" w:hAnsiTheme="minorBidi" w:cstheme="minorBidi"/>
          <w:szCs w:val="22"/>
        </w:rPr>
        <w:t xml:space="preserve"> characters including blanks)</w:t>
      </w:r>
    </w:p>
    <w:p w14:paraId="6827631E" w14:textId="77777777" w:rsidR="00206AB0" w:rsidRDefault="00206AB0"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172A258C" w14:textId="77777777" w:rsidR="00A04869" w:rsidRPr="008A281B" w:rsidRDefault="00A04869"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48C0E392" w14:textId="65B79206" w:rsidR="00DF6D7B" w:rsidRPr="008A281B" w:rsidRDefault="00DF6D7B"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8A281B">
        <w:rPr>
          <w:rFonts w:asciiTheme="minorBidi" w:hAnsiTheme="minorBidi" w:cstheme="minorBidi"/>
          <w:b/>
          <w:szCs w:val="22"/>
        </w:rPr>
        <w:t>About CTX</w:t>
      </w:r>
    </w:p>
    <w:p w14:paraId="6E1C8751" w14:textId="28FD21CC" w:rsidR="00E76E52" w:rsidRPr="008A281B" w:rsidRDefault="00E76E52"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8A281B">
        <w:rPr>
          <w:rFonts w:asciiTheme="minorBidi" w:hAnsiTheme="minorBidi" w:cstheme="minorBidi"/>
          <w:szCs w:val="22"/>
        </w:rPr>
        <w:t>For more than 25 years, CTX Thermal Solutions GmbH has been developing and manufacturing tailor-made cooling solutions for electronic components used in virtually all industries. Comprehensive technical expertise in thermal management, state-of-the-art production technologies, and its unique product diversity have made CTX the European leader of the industry. In addition to the development of new custom cooling solutions, CTX also implements heat sinks according to drawings, as well as complete logistics services for the transport of products.</w:t>
      </w:r>
    </w:p>
    <w:p w14:paraId="57802137" w14:textId="77777777" w:rsidR="00E76E52" w:rsidRPr="008A281B" w:rsidRDefault="00E76E52"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8A281B">
        <w:rPr>
          <w:rFonts w:asciiTheme="minorBidi" w:hAnsiTheme="minorBidi" w:cstheme="minorBidi"/>
          <w:szCs w:val="22"/>
        </w:rPr>
        <w:t>Established in 1997, CTX has more than 35 employees. In terms of revenue, the company is among the major suppliers of cooling systems, especially when it comes to application-specific cooling solutions. The certified quality and environmental management system meets the requirements of DIN EN ISO 9001:2015 and DIN EN ISO 14001:2015.</w:t>
      </w:r>
    </w:p>
    <w:p w14:paraId="69871F4F" w14:textId="77777777" w:rsidR="00E76E52" w:rsidRPr="008A281B" w:rsidRDefault="00E76E52"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bCs/>
          <w:szCs w:val="22"/>
        </w:rPr>
      </w:pPr>
      <w:r w:rsidRPr="008A281B">
        <w:rPr>
          <w:rFonts w:asciiTheme="minorBidi" w:hAnsiTheme="minorBidi" w:cstheme="minorBidi"/>
          <w:b/>
          <w:szCs w:val="22"/>
        </w:rPr>
        <w:t>Are you looking for a cooling system? CTX has the solution!</w:t>
      </w:r>
    </w:p>
    <w:p w14:paraId="3312DB31" w14:textId="77777777" w:rsidR="007219F2" w:rsidRPr="008A281B" w:rsidRDefault="007219F2"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55C0B8AC" w14:textId="00B4E690" w:rsidR="00E76E52" w:rsidRPr="008A281B" w:rsidRDefault="00E76E52"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8A281B">
        <w:rPr>
          <w:rFonts w:asciiTheme="minorBidi" w:hAnsiTheme="minorBidi" w:cstheme="minorBidi"/>
          <w:szCs w:val="22"/>
        </w:rPr>
        <w:t>(</w:t>
      </w:r>
      <w:r w:rsidR="00454418" w:rsidRPr="008A281B">
        <w:rPr>
          <w:rFonts w:asciiTheme="minorBidi" w:hAnsiTheme="minorBidi" w:cstheme="minorBidi"/>
          <w:szCs w:val="22"/>
        </w:rPr>
        <w:t>942</w:t>
      </w:r>
      <w:r w:rsidRPr="008A281B">
        <w:rPr>
          <w:rFonts w:asciiTheme="minorBidi" w:hAnsiTheme="minorBidi" w:cstheme="minorBidi"/>
          <w:szCs w:val="22"/>
        </w:rPr>
        <w:t xml:space="preserve"> characters including blanks)</w:t>
      </w:r>
    </w:p>
    <w:p w14:paraId="2F7018B3" w14:textId="77777777" w:rsidR="008A281B" w:rsidRPr="008A281B" w:rsidRDefault="008A281B" w:rsidP="008A281B">
      <w:pPr>
        <w:suppressAutoHyphens/>
        <w:spacing w:line="288" w:lineRule="auto"/>
        <w:rPr>
          <w:rFonts w:asciiTheme="minorBidi" w:hAnsiTheme="minorBidi" w:cstheme="minorBidi"/>
          <w:szCs w:val="22"/>
        </w:rPr>
      </w:pPr>
    </w:p>
    <w:p w14:paraId="5F48A972" w14:textId="491E6E09" w:rsidR="0051239F" w:rsidRPr="008A281B" w:rsidRDefault="00BF107E" w:rsidP="008A281B">
      <w:pPr>
        <w:suppressAutoHyphens/>
        <w:spacing w:line="288" w:lineRule="auto"/>
        <w:rPr>
          <w:rFonts w:asciiTheme="minorBidi" w:hAnsiTheme="minorBidi" w:cstheme="minorBidi"/>
          <w:szCs w:val="22"/>
        </w:rPr>
      </w:pPr>
      <w:r w:rsidRPr="008A281B">
        <w:rPr>
          <w:rFonts w:asciiTheme="minorBidi" w:hAnsiTheme="minorBidi" w:cstheme="minorBidi"/>
          <w:b/>
          <w:szCs w:val="22"/>
        </w:rPr>
        <w:t>Overview of photos</w:t>
      </w:r>
    </w:p>
    <w:p w14:paraId="5073E939" w14:textId="47E8232A" w:rsidR="00111F83" w:rsidRPr="008A281B" w:rsidRDefault="000F5297"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r w:rsidRPr="008A281B">
        <w:rPr>
          <w:rFonts w:asciiTheme="minorBidi" w:hAnsiTheme="minorBidi" w:cstheme="minorBidi"/>
          <w:noProof/>
          <w:szCs w:val="22"/>
        </w:rPr>
        <w:drawing>
          <wp:inline distT="0" distB="0" distL="0" distR="0" wp14:anchorId="2F99EDA2" wp14:editId="10E779C8">
            <wp:extent cx="2704257" cy="3589867"/>
            <wp:effectExtent l="0" t="0" r="1270" b="4445"/>
            <wp:docPr id="22058044" name="Grafik 1" descr="Ein Bild, das Kleidung, Person, Schuhwerk, Man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58044" name="Grafik 1" descr="Ein Bild, das Kleidung, Person, Schuhwerk, Mann enthält.&#10;&#10;Automatisch generierte Beschreibung"/>
                    <pic:cNvPicPr/>
                  </pic:nvPicPr>
                  <pic:blipFill>
                    <a:blip r:embed="rId7" cstate="email">
                      <a:extLst>
                        <a:ext uri="{28A0092B-C50C-407E-A947-70E740481C1C}">
                          <a14:useLocalDpi xmlns:a14="http://schemas.microsoft.com/office/drawing/2010/main"/>
                        </a:ext>
                      </a:extLst>
                    </a:blip>
                    <a:stretch>
                      <a:fillRect/>
                    </a:stretch>
                  </pic:blipFill>
                  <pic:spPr>
                    <a:xfrm>
                      <a:off x="0" y="0"/>
                      <a:ext cx="2731254" cy="3625706"/>
                    </a:xfrm>
                    <a:prstGeom prst="rect">
                      <a:avLst/>
                    </a:prstGeom>
                  </pic:spPr>
                </pic:pic>
              </a:graphicData>
            </a:graphic>
          </wp:inline>
        </w:drawing>
      </w:r>
    </w:p>
    <w:p w14:paraId="78C5A968" w14:textId="2AD7C3A1" w:rsidR="00217484" w:rsidRPr="008A281B" w:rsidRDefault="00454418"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961D75">
        <w:rPr>
          <w:rFonts w:asciiTheme="minorBidi" w:hAnsiTheme="minorBidi" w:cstheme="minorBidi"/>
          <w:b/>
          <w:szCs w:val="22"/>
        </w:rPr>
        <w:t>CTX-cooperation-</w:t>
      </w:r>
      <w:r w:rsidR="000F5297" w:rsidRPr="00961D75">
        <w:rPr>
          <w:rFonts w:asciiTheme="minorBidi" w:hAnsiTheme="minorBidi" w:cstheme="minorBidi"/>
          <w:b/>
          <w:szCs w:val="22"/>
        </w:rPr>
        <w:t>CTX</w:t>
      </w:r>
      <w:r w:rsidRPr="00961D75">
        <w:rPr>
          <w:rFonts w:asciiTheme="minorBidi" w:hAnsiTheme="minorBidi" w:cstheme="minorBidi"/>
          <w:b/>
          <w:szCs w:val="22"/>
        </w:rPr>
        <w:t>-</w:t>
      </w:r>
      <w:r w:rsidR="000F5297" w:rsidRPr="00961D75">
        <w:rPr>
          <w:rFonts w:asciiTheme="minorBidi" w:hAnsiTheme="minorBidi" w:cstheme="minorBidi"/>
          <w:b/>
          <w:szCs w:val="22"/>
        </w:rPr>
        <w:t>PADA.jpeg:</w:t>
      </w:r>
      <w:r w:rsidR="000F5297" w:rsidRPr="008A281B">
        <w:rPr>
          <w:rFonts w:asciiTheme="minorBidi" w:hAnsiTheme="minorBidi" w:cstheme="minorBidi"/>
          <w:b/>
          <w:szCs w:val="22"/>
        </w:rPr>
        <w:t xml:space="preserve"> </w:t>
      </w:r>
      <w:r w:rsidR="000F5297" w:rsidRPr="008A281B">
        <w:rPr>
          <w:rFonts w:asciiTheme="minorBidi" w:hAnsiTheme="minorBidi" w:cstheme="minorBidi"/>
          <w:szCs w:val="22"/>
        </w:rPr>
        <w:t>CTX CEO Wilfried Schmitz (left) and Jens Mirau (right) look forward to closer cooperation with Benedetta Fiorani, CEO of PADA Engineering</w:t>
      </w:r>
    </w:p>
    <w:p w14:paraId="507A8B69" w14:textId="77777777" w:rsidR="00454418" w:rsidRPr="008A281B" w:rsidRDefault="00454418" w:rsidP="008A281B">
      <w:pPr>
        <w:tabs>
          <w:tab w:val="left" w:pos="-1620"/>
          <w:tab w:val="center" w:pos="6840"/>
          <w:tab w:val="center" w:pos="7380"/>
          <w:tab w:val="center" w:pos="7560"/>
          <w:tab w:val="center" w:pos="9540"/>
        </w:tabs>
        <w:suppressAutoHyphens/>
        <w:spacing w:line="288" w:lineRule="auto"/>
        <w:rPr>
          <w:rFonts w:asciiTheme="minorBidi" w:hAnsiTheme="minorBidi" w:cstheme="minorBidi"/>
          <w:i/>
          <w:iCs/>
          <w:szCs w:val="22"/>
        </w:rPr>
      </w:pPr>
      <w:r w:rsidRPr="008A281B">
        <w:rPr>
          <w:rFonts w:asciiTheme="minorBidi" w:hAnsiTheme="minorBidi" w:cstheme="minorBidi"/>
          <w:i/>
          <w:szCs w:val="22"/>
        </w:rPr>
        <w:t>Source: CTX Thermal Solutions</w:t>
      </w:r>
    </w:p>
    <w:p w14:paraId="34950839" w14:textId="77777777" w:rsidR="00111F83" w:rsidRPr="008A281B" w:rsidRDefault="00111F83"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40DB9E53" w14:textId="614EFBCD" w:rsidR="000F5297" w:rsidRPr="008A281B" w:rsidRDefault="000F5297"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8A281B">
        <w:rPr>
          <w:rFonts w:asciiTheme="minorBidi" w:hAnsiTheme="minorBidi" w:cstheme="minorBidi"/>
          <w:noProof/>
          <w:szCs w:val="22"/>
        </w:rPr>
        <w:drawing>
          <wp:inline distT="0" distB="0" distL="0" distR="0" wp14:anchorId="2E1EC7D5" wp14:editId="50965FCD">
            <wp:extent cx="3185410" cy="2389233"/>
            <wp:effectExtent l="0" t="0" r="2540" b="0"/>
            <wp:docPr id="411331964" name="Grafik 2" descr="Ein Bild, das Himmel, Person, drauße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331964" name="Grafik 2" descr="Ein Bild, das Himmel, Person, draußen, Text enthält.&#10;&#10;Automatisch generierte Beschreibung"/>
                    <pic:cNvPicPr/>
                  </pic:nvPicPr>
                  <pic:blipFill>
                    <a:blip r:embed="rId8" cstate="email">
                      <a:extLst>
                        <a:ext uri="{28A0092B-C50C-407E-A947-70E740481C1C}">
                          <a14:useLocalDpi xmlns:a14="http://schemas.microsoft.com/office/drawing/2010/main"/>
                        </a:ext>
                      </a:extLst>
                    </a:blip>
                    <a:stretch>
                      <a:fillRect/>
                    </a:stretch>
                  </pic:blipFill>
                  <pic:spPr>
                    <a:xfrm>
                      <a:off x="0" y="0"/>
                      <a:ext cx="3276430" cy="2457503"/>
                    </a:xfrm>
                    <a:prstGeom prst="rect">
                      <a:avLst/>
                    </a:prstGeom>
                  </pic:spPr>
                </pic:pic>
              </a:graphicData>
            </a:graphic>
          </wp:inline>
        </w:drawing>
      </w:r>
    </w:p>
    <w:p w14:paraId="2727EB1E" w14:textId="3278C989" w:rsidR="000F5297" w:rsidRPr="008A281B" w:rsidRDefault="00454418"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961D75">
        <w:rPr>
          <w:rFonts w:asciiTheme="minorBidi" w:hAnsiTheme="minorBidi" w:cstheme="minorBidi"/>
          <w:b/>
          <w:szCs w:val="22"/>
        </w:rPr>
        <w:t>CTX-management-</w:t>
      </w:r>
      <w:r w:rsidR="00A7098A" w:rsidRPr="00961D75">
        <w:rPr>
          <w:rFonts w:asciiTheme="minorBidi" w:hAnsiTheme="minorBidi" w:cstheme="minorBidi"/>
          <w:b/>
          <w:szCs w:val="22"/>
        </w:rPr>
        <w:t>PADA-</w:t>
      </w:r>
      <w:r w:rsidRPr="00961D75">
        <w:rPr>
          <w:rFonts w:asciiTheme="minorBidi" w:hAnsiTheme="minorBidi" w:cstheme="minorBidi"/>
          <w:b/>
          <w:szCs w:val="22"/>
        </w:rPr>
        <w:t>employees</w:t>
      </w:r>
      <w:r w:rsidR="00A7098A" w:rsidRPr="00961D75">
        <w:rPr>
          <w:rFonts w:asciiTheme="minorBidi" w:hAnsiTheme="minorBidi" w:cstheme="minorBidi"/>
          <w:b/>
          <w:szCs w:val="22"/>
        </w:rPr>
        <w:t>.jpeg:</w:t>
      </w:r>
      <w:r w:rsidR="00A7098A" w:rsidRPr="008A281B">
        <w:rPr>
          <w:rFonts w:asciiTheme="minorBidi" w:hAnsiTheme="minorBidi" w:cstheme="minorBidi"/>
          <w:szCs w:val="22"/>
        </w:rPr>
        <w:t xml:space="preserve"> Employees of PADA Engineering and CTX Management</w:t>
      </w:r>
    </w:p>
    <w:p w14:paraId="3C9E13E5" w14:textId="77777777" w:rsidR="00454418" w:rsidRPr="008A281B" w:rsidRDefault="00454418" w:rsidP="008A281B">
      <w:pPr>
        <w:tabs>
          <w:tab w:val="left" w:pos="-1620"/>
          <w:tab w:val="center" w:pos="6840"/>
          <w:tab w:val="center" w:pos="7380"/>
          <w:tab w:val="center" w:pos="7560"/>
          <w:tab w:val="center" w:pos="9540"/>
        </w:tabs>
        <w:suppressAutoHyphens/>
        <w:spacing w:line="288" w:lineRule="auto"/>
        <w:rPr>
          <w:rFonts w:asciiTheme="minorBidi" w:hAnsiTheme="minorBidi" w:cstheme="minorBidi"/>
          <w:i/>
          <w:iCs/>
          <w:szCs w:val="22"/>
        </w:rPr>
      </w:pPr>
      <w:r w:rsidRPr="008A281B">
        <w:rPr>
          <w:rFonts w:asciiTheme="minorBidi" w:hAnsiTheme="minorBidi" w:cstheme="minorBidi"/>
          <w:i/>
          <w:szCs w:val="22"/>
        </w:rPr>
        <w:t>Source: CTX Thermal Solutions</w:t>
      </w:r>
    </w:p>
    <w:p w14:paraId="795425B2" w14:textId="77777777" w:rsidR="003974EC" w:rsidRPr="008A281B" w:rsidRDefault="003974EC"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7160D4FC" w14:textId="77777777" w:rsidR="00454418" w:rsidRPr="008A281B" w:rsidRDefault="00454418"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54C8CCBD" w14:textId="42DCA6E3" w:rsidR="00217484" w:rsidRPr="008A281B" w:rsidRDefault="00617F4E"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8A281B">
        <w:rPr>
          <w:rFonts w:asciiTheme="minorBidi" w:hAnsiTheme="minorBidi" w:cstheme="minorBidi"/>
          <w:b/>
          <w:szCs w:val="22"/>
        </w:rPr>
        <w:t>Meta title</w:t>
      </w:r>
    </w:p>
    <w:p w14:paraId="681A4D2E" w14:textId="16DA5CD1" w:rsidR="00217484" w:rsidRPr="008A281B" w:rsidRDefault="005503CA"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8A281B">
        <w:rPr>
          <w:rFonts w:asciiTheme="minorBidi" w:hAnsiTheme="minorBidi" w:cstheme="minorBidi"/>
          <w:szCs w:val="22"/>
        </w:rPr>
        <w:t>CTX acquires stake in cooling system manufacturer PADA Engineering</w:t>
      </w:r>
    </w:p>
    <w:p w14:paraId="745881E6" w14:textId="77777777" w:rsidR="00454418" w:rsidRPr="008A281B" w:rsidRDefault="00454418"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p>
    <w:p w14:paraId="764FC498" w14:textId="25FB18AD" w:rsidR="004A6F34" w:rsidRPr="008A281B" w:rsidRDefault="0051239F"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8A281B">
        <w:rPr>
          <w:rFonts w:asciiTheme="minorBidi" w:hAnsiTheme="minorBidi" w:cstheme="minorBidi"/>
          <w:b/>
          <w:szCs w:val="22"/>
        </w:rPr>
        <w:t>Meta description</w:t>
      </w:r>
    </w:p>
    <w:p w14:paraId="6D360370" w14:textId="4FDA7FBE" w:rsidR="0051239F" w:rsidRPr="008A281B" w:rsidRDefault="00F04863"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8A281B">
        <w:rPr>
          <w:rFonts w:asciiTheme="minorBidi" w:hAnsiTheme="minorBidi" w:cstheme="minorBidi"/>
          <w:szCs w:val="22"/>
        </w:rPr>
        <w:t>At the end of 2023, CTX acquired a stake in PADA Engineering, an Italian manufacturer of cooling components</w:t>
      </w:r>
    </w:p>
    <w:p w14:paraId="5A41CCF8" w14:textId="77777777" w:rsidR="00E76E52" w:rsidRPr="008A281B" w:rsidRDefault="00E76E52"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73E9A962" w14:textId="77777777" w:rsidR="00454418" w:rsidRPr="008A281B" w:rsidRDefault="00454418"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4C2ECD9B" w14:textId="6614054B" w:rsidR="0051239F" w:rsidRPr="008A281B" w:rsidRDefault="0051239F"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8A281B">
        <w:rPr>
          <w:rFonts w:asciiTheme="minorBidi" w:hAnsiTheme="minorBidi" w:cstheme="minorBidi"/>
          <w:b/>
          <w:szCs w:val="22"/>
        </w:rPr>
        <w:t>Keywords</w:t>
      </w:r>
    </w:p>
    <w:p w14:paraId="3A929F22" w14:textId="5417836A" w:rsidR="0051239F" w:rsidRPr="008A281B" w:rsidRDefault="00F04863"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8A281B">
        <w:rPr>
          <w:rFonts w:asciiTheme="minorBidi" w:hAnsiTheme="minorBidi" w:cstheme="minorBidi"/>
          <w:szCs w:val="22"/>
        </w:rPr>
        <w:t>#CTX, #PADA, #investment, #heat sinks, #profile heat sinks, #liquid-cooled heat sinks, #skived-fin heat sinks</w:t>
      </w:r>
    </w:p>
    <w:p w14:paraId="0F99D3E9" w14:textId="77777777" w:rsidR="00E76E52" w:rsidRPr="008A281B" w:rsidRDefault="00E76E52"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3326F1AD" w14:textId="77777777" w:rsidR="00454418" w:rsidRPr="008A281B" w:rsidRDefault="00454418"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25EF9D71" w14:textId="7101E58A" w:rsidR="0051239F" w:rsidRPr="008A281B" w:rsidRDefault="00217484"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8A281B">
        <w:rPr>
          <w:rFonts w:asciiTheme="minorBidi" w:hAnsiTheme="minorBidi" w:cstheme="minorBidi"/>
          <w:b/>
          <w:szCs w:val="22"/>
        </w:rPr>
        <w:t>Deeplink</w:t>
      </w:r>
      <w:r w:rsidR="00454418" w:rsidRPr="008A281B">
        <w:rPr>
          <w:rFonts w:asciiTheme="minorBidi" w:hAnsiTheme="minorBidi" w:cstheme="minorBidi"/>
          <w:b/>
          <w:szCs w:val="22"/>
        </w:rPr>
        <w:t>s</w:t>
      </w:r>
    </w:p>
    <w:p w14:paraId="0A28A51D" w14:textId="51221122" w:rsidR="00454418" w:rsidRPr="008A281B" w:rsidRDefault="00000000"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hyperlink r:id="rId9" w:history="1">
        <w:r w:rsidR="00454418" w:rsidRPr="008A281B">
          <w:rPr>
            <w:rStyle w:val="Hyperlink"/>
            <w:rFonts w:asciiTheme="minorBidi" w:hAnsiTheme="minorBidi" w:cstheme="minorBidi"/>
            <w:szCs w:val="22"/>
          </w:rPr>
          <w:t>https://www.ctx.eu/en/</w:t>
        </w:r>
      </w:hyperlink>
    </w:p>
    <w:p w14:paraId="7CF6D700" w14:textId="72ADA1E4" w:rsidR="00454418" w:rsidRPr="008A281B" w:rsidRDefault="00000000"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hyperlink r:id="rId10" w:history="1">
        <w:r w:rsidR="00454418" w:rsidRPr="008A281B">
          <w:rPr>
            <w:rStyle w:val="Hyperlink"/>
            <w:rFonts w:asciiTheme="minorBidi" w:hAnsiTheme="minorBidi" w:cstheme="minorBidi"/>
            <w:szCs w:val="22"/>
          </w:rPr>
          <w:t>https://www.padaengineering.com/en/index.html</w:t>
        </w:r>
      </w:hyperlink>
    </w:p>
    <w:p w14:paraId="299B0DBF" w14:textId="26073130" w:rsidR="00454418" w:rsidRPr="008A281B" w:rsidRDefault="00000000"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hyperlink r:id="rId11" w:history="1">
        <w:r w:rsidR="00454418" w:rsidRPr="008A281B">
          <w:rPr>
            <w:rStyle w:val="Hyperlink"/>
            <w:rFonts w:asciiTheme="minorBidi" w:hAnsiTheme="minorBidi" w:cstheme="minorBidi"/>
            <w:szCs w:val="22"/>
          </w:rPr>
          <w:t>https://www.ctx.eu/en/products/heat-sinks</w:t>
        </w:r>
      </w:hyperlink>
    </w:p>
    <w:p w14:paraId="4FB1200B" w14:textId="4E518D00" w:rsidR="00454418" w:rsidRPr="008A281B" w:rsidRDefault="00000000"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hyperlink r:id="rId12" w:history="1">
        <w:r w:rsidR="00454418" w:rsidRPr="008A281B">
          <w:rPr>
            <w:rStyle w:val="Hyperlink"/>
            <w:rFonts w:asciiTheme="minorBidi" w:hAnsiTheme="minorBidi" w:cstheme="minorBidi"/>
            <w:szCs w:val="22"/>
          </w:rPr>
          <w:t>https://www.ctx.eu/en/products/heat-sinks/profile-heat-sinks</w:t>
        </w:r>
      </w:hyperlink>
    </w:p>
    <w:p w14:paraId="5EBFD0A4" w14:textId="67ED11D2" w:rsidR="00215E62" w:rsidRPr="008A281B" w:rsidRDefault="00000000"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hyperlink r:id="rId13" w:history="1">
        <w:r w:rsidR="00454418" w:rsidRPr="008A281B">
          <w:rPr>
            <w:rStyle w:val="Hyperlink"/>
            <w:rFonts w:asciiTheme="minorBidi" w:hAnsiTheme="minorBidi" w:cstheme="minorBidi"/>
            <w:szCs w:val="22"/>
          </w:rPr>
          <w:t>https://www.ctx.eu/en/products/heat-sinks/liquid-heat-sinks</w:t>
        </w:r>
      </w:hyperlink>
    </w:p>
    <w:p w14:paraId="39347915" w14:textId="77777777" w:rsidR="00454418" w:rsidRPr="008A281B" w:rsidRDefault="00454418"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702B09D5" w14:textId="77777777" w:rsidR="00454418" w:rsidRPr="008A281B" w:rsidRDefault="00454418"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1003A1E5" w14:textId="77777777" w:rsidR="00180E07" w:rsidRPr="008A281B" w:rsidRDefault="00180E07"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lang w:val="it-IT"/>
        </w:rPr>
      </w:pPr>
      <w:r w:rsidRPr="008A281B">
        <w:rPr>
          <w:rFonts w:asciiTheme="minorBidi" w:hAnsiTheme="minorBidi" w:cstheme="minorBidi"/>
          <w:b/>
          <w:szCs w:val="22"/>
          <w:lang w:val="it-IT"/>
        </w:rPr>
        <w:t>Social media</w:t>
      </w:r>
    </w:p>
    <w:p w14:paraId="6ED66B95" w14:textId="64388706" w:rsidR="00B704CC" w:rsidRPr="008A281B" w:rsidRDefault="00180E07"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it-IT"/>
        </w:rPr>
      </w:pPr>
      <w:r w:rsidRPr="008A281B">
        <w:rPr>
          <w:rFonts w:asciiTheme="minorBidi" w:hAnsiTheme="minorBidi" w:cstheme="minorBidi"/>
          <w:szCs w:val="22"/>
          <w:lang w:val="it-IT"/>
        </w:rPr>
        <w:t xml:space="preserve">LinkedIn profile: </w:t>
      </w:r>
      <w:hyperlink r:id="rId14" w:history="1">
        <w:r w:rsidRPr="008A281B">
          <w:rPr>
            <w:rStyle w:val="Hyperlink"/>
            <w:rFonts w:asciiTheme="minorBidi" w:hAnsiTheme="minorBidi" w:cstheme="minorBidi"/>
            <w:szCs w:val="22"/>
            <w:lang w:val="it-IT"/>
          </w:rPr>
          <w:t>https://www.linkedin.com/company/ctx-thermal-solutions/</w:t>
        </w:r>
      </w:hyperlink>
    </w:p>
    <w:p w14:paraId="4BCDFE30" w14:textId="02FE3F7E" w:rsidR="00180E07" w:rsidRPr="008A281B" w:rsidRDefault="00180E07"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8A281B">
        <w:rPr>
          <w:rFonts w:asciiTheme="minorBidi" w:hAnsiTheme="minorBidi" w:cstheme="minorBidi"/>
          <w:szCs w:val="22"/>
        </w:rPr>
        <w:t>Company link at LinkedIn: @CTX Thermal Solutions GmbH</w:t>
      </w:r>
    </w:p>
    <w:p w14:paraId="7301FA08" w14:textId="77777777" w:rsidR="00454418" w:rsidRPr="008A281B" w:rsidRDefault="00454418" w:rsidP="008A281B">
      <w:pPr>
        <w:pStyle w:val="Textkrper"/>
        <w:tabs>
          <w:tab w:val="left" w:pos="9072"/>
        </w:tabs>
        <w:suppressAutoHyphens/>
        <w:spacing w:line="288" w:lineRule="auto"/>
        <w:ind w:right="0"/>
        <w:jc w:val="left"/>
        <w:rPr>
          <w:rFonts w:asciiTheme="minorBidi" w:hAnsiTheme="minorBidi" w:cstheme="minorBidi"/>
          <w:szCs w:val="22"/>
        </w:rPr>
      </w:pPr>
    </w:p>
    <w:p w14:paraId="2DE20137" w14:textId="77777777" w:rsidR="00454418" w:rsidRPr="008A281B" w:rsidRDefault="00454418"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52555BA5" w14:textId="438AC979" w:rsidR="00454418" w:rsidRPr="008A281B" w:rsidRDefault="00454418" w:rsidP="008A281B">
      <w:pPr>
        <w:suppressAutoHyphens/>
        <w:spacing w:line="288" w:lineRule="auto"/>
        <w:ind w:right="283"/>
        <w:rPr>
          <w:rFonts w:asciiTheme="minorBidi" w:hAnsiTheme="minorBidi" w:cstheme="minorBidi"/>
          <w:b/>
          <w:bCs/>
          <w:color w:val="000000"/>
          <w:szCs w:val="22"/>
          <w:lang w:val="de-DE"/>
        </w:rPr>
      </w:pPr>
      <w:r w:rsidRPr="008A281B">
        <w:rPr>
          <w:rFonts w:asciiTheme="minorBidi" w:hAnsiTheme="minorBidi" w:cstheme="minorBidi"/>
          <w:b/>
          <w:bCs/>
          <w:color w:val="000000"/>
          <w:szCs w:val="22"/>
          <w:lang w:val="de-DE"/>
        </w:rPr>
        <w:t>CTX Thermal Solutions GmbH</w:t>
      </w:r>
    </w:p>
    <w:p w14:paraId="2FA9996A" w14:textId="77777777" w:rsidR="00454418" w:rsidRPr="008A281B" w:rsidRDefault="00454418" w:rsidP="008A281B">
      <w:pPr>
        <w:suppressAutoHyphens/>
        <w:spacing w:line="288" w:lineRule="auto"/>
        <w:ind w:right="283"/>
        <w:rPr>
          <w:rFonts w:asciiTheme="minorBidi" w:hAnsiTheme="minorBidi" w:cstheme="minorBidi"/>
          <w:color w:val="000000"/>
          <w:szCs w:val="22"/>
          <w:lang w:val="de-DE"/>
        </w:rPr>
      </w:pPr>
      <w:r w:rsidRPr="008A281B">
        <w:rPr>
          <w:rFonts w:asciiTheme="minorBidi" w:hAnsiTheme="minorBidi" w:cstheme="minorBidi"/>
          <w:color w:val="000000"/>
          <w:szCs w:val="22"/>
          <w:lang w:val="de-DE"/>
        </w:rPr>
        <w:t>Lötscher Weg 104 • 41334 Nettetal</w:t>
      </w:r>
    </w:p>
    <w:p w14:paraId="186F547F" w14:textId="77777777" w:rsidR="00454418" w:rsidRPr="008A281B" w:rsidRDefault="00454418" w:rsidP="008A281B">
      <w:pPr>
        <w:suppressAutoHyphens/>
        <w:spacing w:line="288" w:lineRule="auto"/>
        <w:ind w:right="283"/>
        <w:rPr>
          <w:rFonts w:asciiTheme="minorBidi" w:hAnsiTheme="minorBidi" w:cstheme="minorBidi"/>
          <w:color w:val="000000"/>
          <w:szCs w:val="22"/>
          <w:lang w:val="de-DE"/>
        </w:rPr>
      </w:pPr>
      <w:r w:rsidRPr="008A281B">
        <w:rPr>
          <w:rFonts w:asciiTheme="minorBidi" w:hAnsiTheme="minorBidi" w:cstheme="minorBidi"/>
          <w:color w:val="000000"/>
          <w:szCs w:val="22"/>
          <w:lang w:val="de-DE"/>
        </w:rPr>
        <w:t xml:space="preserve">Telefon +49 2153 7374-0 • Telefax: +49 2153 7374-10 </w:t>
      </w:r>
    </w:p>
    <w:p w14:paraId="02094F94" w14:textId="77777777" w:rsidR="00454418" w:rsidRPr="008A281B" w:rsidRDefault="00454418" w:rsidP="008A281B">
      <w:pPr>
        <w:suppressAutoHyphens/>
        <w:spacing w:line="288" w:lineRule="auto"/>
        <w:ind w:right="283"/>
        <w:rPr>
          <w:rFonts w:asciiTheme="minorBidi" w:hAnsiTheme="minorBidi" w:cstheme="minorBidi"/>
          <w:color w:val="000000"/>
          <w:szCs w:val="22"/>
          <w:lang w:val="de-DE"/>
        </w:rPr>
      </w:pPr>
      <w:r w:rsidRPr="008A281B">
        <w:rPr>
          <w:rFonts w:asciiTheme="minorBidi" w:hAnsiTheme="minorBidi" w:cstheme="minorBidi"/>
          <w:color w:val="000000"/>
          <w:szCs w:val="22"/>
          <w:lang w:val="de-DE"/>
        </w:rPr>
        <w:t>E-Mail: info@ctx.eu • Internet: www.ctx.eu</w:t>
      </w:r>
    </w:p>
    <w:p w14:paraId="3A3E8029" w14:textId="77777777" w:rsidR="00454418" w:rsidRPr="008A281B" w:rsidRDefault="00454418"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de-DE"/>
        </w:rPr>
      </w:pPr>
    </w:p>
    <w:p w14:paraId="0AC782DC" w14:textId="77777777" w:rsidR="00454418" w:rsidRPr="008A281B" w:rsidRDefault="00454418"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de-DE"/>
        </w:rPr>
      </w:pPr>
    </w:p>
    <w:p w14:paraId="011E8790" w14:textId="036A6B07" w:rsidR="00E76E52" w:rsidRPr="008A281B" w:rsidRDefault="0051239F"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color w:val="000000"/>
          <w:szCs w:val="22"/>
          <w:lang w:val="de-DE"/>
        </w:rPr>
      </w:pPr>
      <w:r w:rsidRPr="008A281B">
        <w:rPr>
          <w:rFonts w:asciiTheme="minorBidi" w:hAnsiTheme="minorBidi" w:cstheme="minorBidi"/>
          <w:b/>
          <w:szCs w:val="22"/>
          <w:lang w:val="de-DE"/>
        </w:rPr>
        <w:t>Download area</w:t>
      </w:r>
    </w:p>
    <w:p w14:paraId="70EC55E5" w14:textId="5CCDD9EE" w:rsidR="00217484" w:rsidRPr="008A281B" w:rsidRDefault="00000000" w:rsidP="008A281B">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lang w:val="de-DE"/>
        </w:rPr>
      </w:pPr>
      <w:hyperlink r:id="rId15" w:history="1">
        <w:r w:rsidRPr="008A281B">
          <w:rPr>
            <w:rStyle w:val="Hyperlink"/>
            <w:rFonts w:asciiTheme="minorBidi" w:hAnsiTheme="minorBidi" w:cstheme="minorBidi"/>
            <w:szCs w:val="22"/>
            <w:lang w:val="de-DE"/>
          </w:rPr>
          <w:t>https://www.koehler-partner.de/project/ctx-presseservice/</w:t>
        </w:r>
      </w:hyperlink>
    </w:p>
    <w:p w14:paraId="7993CF64" w14:textId="77777777" w:rsidR="000D7652" w:rsidRPr="008A281B" w:rsidRDefault="000D7652" w:rsidP="008A281B">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lang w:val="de-DE"/>
        </w:rPr>
      </w:pPr>
    </w:p>
    <w:p w14:paraId="2C6342BB" w14:textId="3E5FFC9A" w:rsidR="00557EB2" w:rsidRPr="008A281B" w:rsidRDefault="0051239F" w:rsidP="008A281B">
      <w:pPr>
        <w:suppressAutoHyphens/>
        <w:spacing w:line="288" w:lineRule="auto"/>
        <w:ind w:right="283"/>
        <w:rPr>
          <w:rFonts w:asciiTheme="minorBidi" w:hAnsiTheme="minorBidi" w:cstheme="minorBidi"/>
          <w:color w:val="000000"/>
          <w:szCs w:val="22"/>
          <w:lang w:val="de-DE"/>
        </w:rPr>
      </w:pPr>
      <w:r w:rsidRPr="008A281B">
        <w:rPr>
          <w:rFonts w:asciiTheme="minorBidi" w:hAnsiTheme="minorBidi" w:cstheme="minorBidi"/>
          <w:b/>
          <w:color w:val="000000"/>
          <w:szCs w:val="22"/>
          <w:lang w:val="de-DE"/>
        </w:rPr>
        <w:t>PR office</w:t>
      </w:r>
    </w:p>
    <w:p w14:paraId="7703D606" w14:textId="77777777" w:rsidR="0051239F" w:rsidRPr="008A281B" w:rsidRDefault="0051239F" w:rsidP="008A281B">
      <w:pPr>
        <w:suppressAutoHyphens/>
        <w:spacing w:line="288" w:lineRule="auto"/>
        <w:ind w:right="283"/>
        <w:rPr>
          <w:rFonts w:asciiTheme="minorBidi" w:hAnsiTheme="minorBidi" w:cstheme="minorBidi"/>
          <w:color w:val="000000"/>
          <w:szCs w:val="22"/>
          <w:lang w:val="de-DE"/>
        </w:rPr>
      </w:pPr>
      <w:r w:rsidRPr="008A281B">
        <w:rPr>
          <w:rFonts w:asciiTheme="minorBidi" w:hAnsiTheme="minorBidi" w:cstheme="minorBidi"/>
          <w:color w:val="000000"/>
          <w:szCs w:val="22"/>
          <w:lang w:val="de-DE"/>
        </w:rPr>
        <w:t xml:space="preserve">Köhler + Partner GmbH </w:t>
      </w:r>
    </w:p>
    <w:p w14:paraId="69369911" w14:textId="77777777" w:rsidR="0051239F" w:rsidRPr="008A281B" w:rsidRDefault="00557EB2" w:rsidP="008A281B">
      <w:pPr>
        <w:suppressAutoHyphens/>
        <w:spacing w:line="288" w:lineRule="auto"/>
        <w:ind w:right="283"/>
        <w:rPr>
          <w:rFonts w:asciiTheme="minorBidi" w:hAnsiTheme="minorBidi" w:cstheme="minorBidi"/>
          <w:color w:val="000000"/>
          <w:szCs w:val="22"/>
          <w:lang w:val="de-DE"/>
        </w:rPr>
      </w:pPr>
      <w:r w:rsidRPr="008A281B">
        <w:rPr>
          <w:rFonts w:asciiTheme="minorBidi" w:hAnsiTheme="minorBidi" w:cstheme="minorBidi"/>
          <w:color w:val="000000"/>
          <w:szCs w:val="22"/>
          <w:lang w:val="de-DE"/>
        </w:rPr>
        <w:t xml:space="preserve">Brauerstraße 42 </w:t>
      </w:r>
      <w:r w:rsidRPr="008A281B">
        <w:rPr>
          <w:rFonts w:asciiTheme="minorBidi" w:hAnsiTheme="minorBidi" w:cstheme="minorBidi"/>
          <w:color w:val="000000"/>
          <w:szCs w:val="22"/>
        </w:rPr>
        <w:sym w:font="Symbol" w:char="F0B7"/>
      </w:r>
      <w:r w:rsidRPr="008A281B">
        <w:rPr>
          <w:rFonts w:asciiTheme="minorBidi" w:hAnsiTheme="minorBidi" w:cstheme="minorBidi"/>
          <w:color w:val="000000"/>
          <w:szCs w:val="22"/>
          <w:lang w:val="de-DE"/>
        </w:rPr>
        <w:t xml:space="preserve"> 21244 Buchholz i.d.N.</w:t>
      </w:r>
    </w:p>
    <w:p w14:paraId="6E9B08CD" w14:textId="2B26B450" w:rsidR="0051239F" w:rsidRPr="008A281B" w:rsidRDefault="0051239F" w:rsidP="008A281B">
      <w:pPr>
        <w:suppressAutoHyphens/>
        <w:spacing w:line="288" w:lineRule="auto"/>
        <w:ind w:right="283"/>
        <w:rPr>
          <w:rFonts w:asciiTheme="minorBidi" w:hAnsiTheme="minorBidi" w:cstheme="minorBidi"/>
          <w:color w:val="000000"/>
          <w:szCs w:val="22"/>
          <w:lang w:val="fr-FR"/>
        </w:rPr>
      </w:pPr>
      <w:r w:rsidRPr="008A281B">
        <w:rPr>
          <w:rFonts w:asciiTheme="minorBidi" w:hAnsiTheme="minorBidi" w:cstheme="minorBidi"/>
          <w:color w:val="000000"/>
          <w:szCs w:val="22"/>
          <w:lang w:val="fr-FR"/>
        </w:rPr>
        <w:t xml:space="preserve">Phone: +49 4181 92892-0 </w:t>
      </w:r>
      <w:r w:rsidRPr="008A281B">
        <w:rPr>
          <w:rFonts w:asciiTheme="minorBidi" w:hAnsiTheme="minorBidi" w:cstheme="minorBidi"/>
          <w:color w:val="000000"/>
          <w:szCs w:val="22"/>
        </w:rPr>
        <w:sym w:font="Symbol" w:char="F0B7"/>
      </w:r>
      <w:r w:rsidRPr="008A281B">
        <w:rPr>
          <w:rFonts w:asciiTheme="minorBidi" w:hAnsiTheme="minorBidi" w:cstheme="minorBidi"/>
          <w:color w:val="000000"/>
          <w:szCs w:val="22"/>
          <w:lang w:val="fr-FR"/>
        </w:rPr>
        <w:t xml:space="preserve"> Fax: +49 4181 92892-55</w:t>
      </w:r>
    </w:p>
    <w:p w14:paraId="671B07C6" w14:textId="3868D5E2" w:rsidR="008E2DEB" w:rsidRPr="008A281B" w:rsidRDefault="0051239F" w:rsidP="008A281B">
      <w:pPr>
        <w:suppressAutoHyphens/>
        <w:spacing w:line="288" w:lineRule="auto"/>
        <w:ind w:right="283"/>
        <w:rPr>
          <w:rFonts w:asciiTheme="minorBidi" w:hAnsiTheme="minorBidi" w:cstheme="minorBidi"/>
          <w:szCs w:val="22"/>
          <w:lang w:val="fr-FR"/>
        </w:rPr>
      </w:pPr>
      <w:r w:rsidRPr="008A281B">
        <w:rPr>
          <w:rFonts w:asciiTheme="minorBidi" w:hAnsiTheme="minorBidi" w:cstheme="minorBidi"/>
          <w:color w:val="000000"/>
          <w:szCs w:val="22"/>
          <w:lang w:val="fr-FR"/>
        </w:rPr>
        <w:t xml:space="preserve">E-mail: info@koehler-partner.de </w:t>
      </w:r>
      <w:r w:rsidRPr="008A281B">
        <w:rPr>
          <w:rFonts w:asciiTheme="minorBidi" w:hAnsiTheme="minorBidi" w:cstheme="minorBidi"/>
          <w:color w:val="000000"/>
          <w:szCs w:val="22"/>
        </w:rPr>
        <w:sym w:font="Symbol" w:char="F0B7"/>
      </w:r>
      <w:r w:rsidRPr="008A281B">
        <w:rPr>
          <w:rFonts w:asciiTheme="minorBidi" w:hAnsiTheme="minorBidi" w:cstheme="minorBidi"/>
          <w:color w:val="000000"/>
          <w:szCs w:val="22"/>
          <w:lang w:val="fr-FR"/>
        </w:rPr>
        <w:t xml:space="preserve"> Internet</w:t>
      </w:r>
      <w:r w:rsidRPr="008A281B">
        <w:rPr>
          <w:rFonts w:asciiTheme="minorBidi" w:hAnsiTheme="minorBidi" w:cstheme="minorBidi"/>
          <w:szCs w:val="22"/>
          <w:lang w:val="fr-FR"/>
        </w:rPr>
        <w:t>: www.koehler-partner.de</w:t>
      </w:r>
    </w:p>
    <w:sectPr w:rsidR="008E2DEB" w:rsidRPr="008A281B" w:rsidSect="002502D8">
      <w:headerReference w:type="default" r:id="rId16"/>
      <w:footerReference w:type="default" r:id="rId17"/>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B1381" w14:textId="77777777" w:rsidR="00C515C8" w:rsidRDefault="00C515C8" w:rsidP="0051239F">
      <w:r>
        <w:separator/>
      </w:r>
    </w:p>
  </w:endnote>
  <w:endnote w:type="continuationSeparator" w:id="0">
    <w:p w14:paraId="122BEA67" w14:textId="77777777" w:rsidR="00C515C8" w:rsidRDefault="00C515C8" w:rsidP="0051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0966D" w14:textId="77777777" w:rsidR="00766DF8" w:rsidRDefault="00766DF8" w:rsidP="0051239F">
    <w:pPr>
      <w:pStyle w:val="Textkrper"/>
      <w:tabs>
        <w:tab w:val="left" w:pos="9072"/>
      </w:tabs>
      <w:ind w:right="0"/>
      <w:jc w:val="center"/>
      <w:rPr>
        <w:b/>
        <w:bCs/>
        <w:sz w:val="18"/>
      </w:rPr>
    </w:pPr>
  </w:p>
  <w:p w14:paraId="1CADBCE7" w14:textId="3457D220" w:rsidR="00766DF8" w:rsidRPr="00454418" w:rsidRDefault="00766DF8" w:rsidP="0051239F">
    <w:pPr>
      <w:pStyle w:val="Textkrper"/>
      <w:tabs>
        <w:tab w:val="left" w:pos="9072"/>
      </w:tabs>
      <w:ind w:right="0"/>
      <w:jc w:val="center"/>
      <w:rPr>
        <w:rFonts w:ascii="Arial" w:hAnsi="Arial"/>
        <w:bCs/>
        <w:sz w:val="18"/>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0DF5F" w14:textId="77777777" w:rsidR="00C515C8" w:rsidRDefault="00C515C8" w:rsidP="0051239F">
      <w:r>
        <w:separator/>
      </w:r>
    </w:p>
  </w:footnote>
  <w:footnote w:type="continuationSeparator" w:id="0">
    <w:p w14:paraId="15425C12" w14:textId="77777777" w:rsidR="00C515C8" w:rsidRDefault="00C515C8" w:rsidP="0051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60E90" w14:textId="5886569B" w:rsidR="00766DF8" w:rsidRDefault="00E76E52" w:rsidP="00E76E52">
    <w:pPr>
      <w:tabs>
        <w:tab w:val="left" w:pos="2579"/>
        <w:tab w:val="right" w:pos="9072"/>
      </w:tabs>
      <w:bidi/>
      <w:ind w:right="1920"/>
    </w:pPr>
    <w:r>
      <w:rPr>
        <w:i/>
        <w:noProof/>
        <w:sz w:val="48"/>
      </w:rPr>
      <w:drawing>
        <wp:anchor distT="0" distB="0" distL="114300" distR="114300" simplePos="0" relativeHeight="251659264" behindDoc="1" locked="0" layoutInCell="1" allowOverlap="1" wp14:anchorId="796B074D" wp14:editId="7D24735B">
          <wp:simplePos x="0" y="0"/>
          <wp:positionH relativeFrom="column">
            <wp:posOffset>0</wp:posOffset>
          </wp:positionH>
          <wp:positionV relativeFrom="paragraph">
            <wp:posOffset>-635</wp:posOffset>
          </wp:positionV>
          <wp:extent cx="1435100" cy="444500"/>
          <wp:effectExtent l="0" t="0" r="0" b="0"/>
          <wp:wrapNone/>
          <wp:docPr id="1397672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67238" name="Grafik 139767238"/>
                  <pic:cNvPicPr/>
                </pic:nvPicPr>
                <pic:blipFill>
                  <a:blip r:embed="rId1"/>
                  <a:stretch>
                    <a:fillRect/>
                  </a:stretch>
                </pic:blipFill>
                <pic:spPr>
                  <a:xfrm>
                    <a:off x="0" y="0"/>
                    <a:ext cx="1435100" cy="444500"/>
                  </a:xfrm>
                  <a:prstGeom prst="rect">
                    <a:avLst/>
                  </a:prstGeom>
                </pic:spPr>
              </pic:pic>
            </a:graphicData>
          </a:graphic>
          <wp14:sizeRelH relativeFrom="page">
            <wp14:pctWidth>0</wp14:pctWidth>
          </wp14:sizeRelH>
          <wp14:sizeRelV relativeFrom="page">
            <wp14:pctHeight>0</wp14:pctHeight>
          </wp14:sizeRelV>
        </wp:anchor>
      </w:drawing>
    </w:r>
    <w:r>
      <w:rPr>
        <w:i/>
        <w:sz w:val="48"/>
      </w:rPr>
      <w:t>Press Release</w:t>
    </w:r>
  </w:p>
  <w:p w14:paraId="0A698385" w14:textId="77777777" w:rsidR="00766DF8" w:rsidRDefault="00766DF8">
    <w:pPr>
      <w:pStyle w:val="Kopfzeile"/>
    </w:pPr>
  </w:p>
  <w:p w14:paraId="3A31A536" w14:textId="77777777" w:rsidR="00E76E52" w:rsidRDefault="00E76E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5F7A1B"/>
    <w:multiLevelType w:val="multilevel"/>
    <w:tmpl w:val="3FCA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907795"/>
    <w:multiLevelType w:val="hybridMultilevel"/>
    <w:tmpl w:val="DEF4D52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w:hAnsi="Courier" w:hint="default"/>
      </w:rPr>
    </w:lvl>
    <w:lvl w:ilvl="2" w:tplc="04070005" w:tentative="1">
      <w:start w:val="1"/>
      <w:numFmt w:val="bullet"/>
      <w:lvlText w:val=""/>
      <w:lvlJc w:val="left"/>
      <w:pPr>
        <w:ind w:left="2880" w:hanging="360"/>
      </w:pPr>
      <w:rPr>
        <w:rFonts w:ascii="Symbol" w:hAnsi="Symbol"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w:hAnsi="Courier" w:hint="default"/>
      </w:rPr>
    </w:lvl>
    <w:lvl w:ilvl="5" w:tplc="04070005" w:tentative="1">
      <w:start w:val="1"/>
      <w:numFmt w:val="bullet"/>
      <w:lvlText w:val=""/>
      <w:lvlJc w:val="left"/>
      <w:pPr>
        <w:ind w:left="5040" w:hanging="360"/>
      </w:pPr>
      <w:rPr>
        <w:rFonts w:ascii="Symbol" w:hAnsi="Symbol"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w:hAnsi="Courier" w:hint="default"/>
      </w:rPr>
    </w:lvl>
    <w:lvl w:ilvl="8" w:tplc="04070005" w:tentative="1">
      <w:start w:val="1"/>
      <w:numFmt w:val="bullet"/>
      <w:lvlText w:val=""/>
      <w:lvlJc w:val="left"/>
      <w:pPr>
        <w:ind w:left="7200" w:hanging="360"/>
      </w:pPr>
      <w:rPr>
        <w:rFonts w:ascii="Symbol" w:hAnsi="Symbol" w:hint="default"/>
      </w:rPr>
    </w:lvl>
  </w:abstractNum>
  <w:abstractNum w:abstractNumId="2" w15:restartNumberingAfterBreak="0">
    <w:nsid w:val="78384FFB"/>
    <w:multiLevelType w:val="hybridMultilevel"/>
    <w:tmpl w:val="0B7629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C72A02"/>
    <w:multiLevelType w:val="hybridMultilevel"/>
    <w:tmpl w:val="D9B6DD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Symbol" w:hAnsi="Symbol" w:hint="default"/>
      </w:rPr>
    </w:lvl>
  </w:abstractNum>
  <w:num w:numId="1" w16cid:durableId="759175676">
    <w:abstractNumId w:val="3"/>
  </w:num>
  <w:num w:numId="2" w16cid:durableId="816649997">
    <w:abstractNumId w:val="2"/>
  </w:num>
  <w:num w:numId="3" w16cid:durableId="1171216884">
    <w:abstractNumId w:val="1"/>
  </w:num>
  <w:num w:numId="4" w16cid:durableId="486283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39F"/>
    <w:rsid w:val="00004A5D"/>
    <w:rsid w:val="00014B74"/>
    <w:rsid w:val="00025661"/>
    <w:rsid w:val="00032A26"/>
    <w:rsid w:val="00036328"/>
    <w:rsid w:val="00042119"/>
    <w:rsid w:val="0006550D"/>
    <w:rsid w:val="00082755"/>
    <w:rsid w:val="00094E1D"/>
    <w:rsid w:val="000972A9"/>
    <w:rsid w:val="000A43B9"/>
    <w:rsid w:val="000A77EE"/>
    <w:rsid w:val="000C781B"/>
    <w:rsid w:val="000D45AB"/>
    <w:rsid w:val="000D56EC"/>
    <w:rsid w:val="000D7652"/>
    <w:rsid w:val="000F5297"/>
    <w:rsid w:val="00106D06"/>
    <w:rsid w:val="00111F83"/>
    <w:rsid w:val="00121922"/>
    <w:rsid w:val="001330B9"/>
    <w:rsid w:val="00156478"/>
    <w:rsid w:val="00163A21"/>
    <w:rsid w:val="00172A3D"/>
    <w:rsid w:val="001804D2"/>
    <w:rsid w:val="00180E07"/>
    <w:rsid w:val="001A0DEE"/>
    <w:rsid w:val="001A2F0D"/>
    <w:rsid w:val="001A4AE7"/>
    <w:rsid w:val="001A7ED4"/>
    <w:rsid w:val="001B04F6"/>
    <w:rsid w:val="001C1273"/>
    <w:rsid w:val="001D144C"/>
    <w:rsid w:val="001D1940"/>
    <w:rsid w:val="001D2D2D"/>
    <w:rsid w:val="001F1082"/>
    <w:rsid w:val="001F4F8D"/>
    <w:rsid w:val="00201713"/>
    <w:rsid w:val="00202801"/>
    <w:rsid w:val="00206AB0"/>
    <w:rsid w:val="00215E62"/>
    <w:rsid w:val="00217484"/>
    <w:rsid w:val="00220BDC"/>
    <w:rsid w:val="002430C2"/>
    <w:rsid w:val="002502D8"/>
    <w:rsid w:val="002566D0"/>
    <w:rsid w:val="00260A09"/>
    <w:rsid w:val="002B286D"/>
    <w:rsid w:val="00304E62"/>
    <w:rsid w:val="00312704"/>
    <w:rsid w:val="00313E70"/>
    <w:rsid w:val="003159E4"/>
    <w:rsid w:val="003235BF"/>
    <w:rsid w:val="00331EC8"/>
    <w:rsid w:val="00334280"/>
    <w:rsid w:val="00335750"/>
    <w:rsid w:val="003450EF"/>
    <w:rsid w:val="003537F0"/>
    <w:rsid w:val="003566D8"/>
    <w:rsid w:val="0036291C"/>
    <w:rsid w:val="00362A48"/>
    <w:rsid w:val="0036551B"/>
    <w:rsid w:val="003749B9"/>
    <w:rsid w:val="003918AF"/>
    <w:rsid w:val="00393307"/>
    <w:rsid w:val="00393A68"/>
    <w:rsid w:val="003974EC"/>
    <w:rsid w:val="003A29CB"/>
    <w:rsid w:val="003A5F86"/>
    <w:rsid w:val="003C3BBA"/>
    <w:rsid w:val="003E1B1A"/>
    <w:rsid w:val="0040037D"/>
    <w:rsid w:val="00417037"/>
    <w:rsid w:val="0043343B"/>
    <w:rsid w:val="00446CDC"/>
    <w:rsid w:val="004505C0"/>
    <w:rsid w:val="0045419A"/>
    <w:rsid w:val="00454418"/>
    <w:rsid w:val="00455C86"/>
    <w:rsid w:val="00456436"/>
    <w:rsid w:val="00486DFB"/>
    <w:rsid w:val="0049667F"/>
    <w:rsid w:val="004A6F34"/>
    <w:rsid w:val="004C074F"/>
    <w:rsid w:val="004E2D69"/>
    <w:rsid w:val="004E5C22"/>
    <w:rsid w:val="004F7A61"/>
    <w:rsid w:val="00503903"/>
    <w:rsid w:val="00511ABE"/>
    <w:rsid w:val="0051239F"/>
    <w:rsid w:val="005206E3"/>
    <w:rsid w:val="00522348"/>
    <w:rsid w:val="005503CA"/>
    <w:rsid w:val="0055203E"/>
    <w:rsid w:val="00557EB2"/>
    <w:rsid w:val="00573070"/>
    <w:rsid w:val="005745AA"/>
    <w:rsid w:val="005745AB"/>
    <w:rsid w:val="005804F2"/>
    <w:rsid w:val="005A0768"/>
    <w:rsid w:val="005A3630"/>
    <w:rsid w:val="005A4D4F"/>
    <w:rsid w:val="005B1BA1"/>
    <w:rsid w:val="005C5142"/>
    <w:rsid w:val="005D1F2D"/>
    <w:rsid w:val="005E37B3"/>
    <w:rsid w:val="005E497B"/>
    <w:rsid w:val="005F481D"/>
    <w:rsid w:val="0061567D"/>
    <w:rsid w:val="00617F4E"/>
    <w:rsid w:val="00666DBF"/>
    <w:rsid w:val="00671F97"/>
    <w:rsid w:val="00684679"/>
    <w:rsid w:val="006B188A"/>
    <w:rsid w:val="006B6832"/>
    <w:rsid w:val="006C4463"/>
    <w:rsid w:val="006C4A76"/>
    <w:rsid w:val="00713950"/>
    <w:rsid w:val="00716D19"/>
    <w:rsid w:val="007219F2"/>
    <w:rsid w:val="00743BAB"/>
    <w:rsid w:val="007621AB"/>
    <w:rsid w:val="007664A9"/>
    <w:rsid w:val="00766DF8"/>
    <w:rsid w:val="00782613"/>
    <w:rsid w:val="007A02BA"/>
    <w:rsid w:val="007A49F9"/>
    <w:rsid w:val="007C4A3F"/>
    <w:rsid w:val="007D4817"/>
    <w:rsid w:val="007D5661"/>
    <w:rsid w:val="007D7685"/>
    <w:rsid w:val="00807152"/>
    <w:rsid w:val="00815BE9"/>
    <w:rsid w:val="0081753E"/>
    <w:rsid w:val="00820435"/>
    <w:rsid w:val="0082327D"/>
    <w:rsid w:val="00825007"/>
    <w:rsid w:val="008261D5"/>
    <w:rsid w:val="008512E6"/>
    <w:rsid w:val="00867D20"/>
    <w:rsid w:val="00877638"/>
    <w:rsid w:val="00892F57"/>
    <w:rsid w:val="00895B3C"/>
    <w:rsid w:val="008A281B"/>
    <w:rsid w:val="008C46D2"/>
    <w:rsid w:val="008E2DEB"/>
    <w:rsid w:val="008E31E6"/>
    <w:rsid w:val="009035BE"/>
    <w:rsid w:val="00905100"/>
    <w:rsid w:val="0091746D"/>
    <w:rsid w:val="00924A41"/>
    <w:rsid w:val="00947DDB"/>
    <w:rsid w:val="0095619E"/>
    <w:rsid w:val="00961D75"/>
    <w:rsid w:val="00980024"/>
    <w:rsid w:val="009804C5"/>
    <w:rsid w:val="009856F7"/>
    <w:rsid w:val="009A42B2"/>
    <w:rsid w:val="009C7A3C"/>
    <w:rsid w:val="009E2F95"/>
    <w:rsid w:val="009F5C0F"/>
    <w:rsid w:val="00A04869"/>
    <w:rsid w:val="00A05269"/>
    <w:rsid w:val="00A144CB"/>
    <w:rsid w:val="00A1516F"/>
    <w:rsid w:val="00A33E4E"/>
    <w:rsid w:val="00A52B89"/>
    <w:rsid w:val="00A55170"/>
    <w:rsid w:val="00A64204"/>
    <w:rsid w:val="00A7098A"/>
    <w:rsid w:val="00A71415"/>
    <w:rsid w:val="00A71E00"/>
    <w:rsid w:val="00AC3D5B"/>
    <w:rsid w:val="00AC49B7"/>
    <w:rsid w:val="00AF47DF"/>
    <w:rsid w:val="00B13225"/>
    <w:rsid w:val="00B66BC2"/>
    <w:rsid w:val="00B67E12"/>
    <w:rsid w:val="00B704CC"/>
    <w:rsid w:val="00B723BE"/>
    <w:rsid w:val="00B7635E"/>
    <w:rsid w:val="00B765EE"/>
    <w:rsid w:val="00B8347E"/>
    <w:rsid w:val="00BA5991"/>
    <w:rsid w:val="00BB3DA6"/>
    <w:rsid w:val="00BD41CE"/>
    <w:rsid w:val="00BE3E3B"/>
    <w:rsid w:val="00BF0D49"/>
    <w:rsid w:val="00BF107E"/>
    <w:rsid w:val="00C20617"/>
    <w:rsid w:val="00C21FB5"/>
    <w:rsid w:val="00C24F69"/>
    <w:rsid w:val="00C24FE2"/>
    <w:rsid w:val="00C36E01"/>
    <w:rsid w:val="00C42B3D"/>
    <w:rsid w:val="00C515C8"/>
    <w:rsid w:val="00C5629F"/>
    <w:rsid w:val="00C572D7"/>
    <w:rsid w:val="00C655EF"/>
    <w:rsid w:val="00C856FF"/>
    <w:rsid w:val="00C94C7B"/>
    <w:rsid w:val="00CA78D1"/>
    <w:rsid w:val="00CB64F7"/>
    <w:rsid w:val="00CC5346"/>
    <w:rsid w:val="00CD7242"/>
    <w:rsid w:val="00D0476F"/>
    <w:rsid w:val="00D066DC"/>
    <w:rsid w:val="00D06FEF"/>
    <w:rsid w:val="00D349EF"/>
    <w:rsid w:val="00D47944"/>
    <w:rsid w:val="00D568EA"/>
    <w:rsid w:val="00D759E5"/>
    <w:rsid w:val="00D90212"/>
    <w:rsid w:val="00DA2C3B"/>
    <w:rsid w:val="00DC5791"/>
    <w:rsid w:val="00DD297F"/>
    <w:rsid w:val="00DD5C44"/>
    <w:rsid w:val="00DE7001"/>
    <w:rsid w:val="00DF6D7B"/>
    <w:rsid w:val="00E1027F"/>
    <w:rsid w:val="00E54007"/>
    <w:rsid w:val="00E57387"/>
    <w:rsid w:val="00E702D7"/>
    <w:rsid w:val="00E76E52"/>
    <w:rsid w:val="00E873C7"/>
    <w:rsid w:val="00E917B9"/>
    <w:rsid w:val="00E9560B"/>
    <w:rsid w:val="00EC59A1"/>
    <w:rsid w:val="00EE60DA"/>
    <w:rsid w:val="00F04863"/>
    <w:rsid w:val="00F21AEF"/>
    <w:rsid w:val="00F2394D"/>
    <w:rsid w:val="00F40A01"/>
    <w:rsid w:val="00F80651"/>
    <w:rsid w:val="00FB3DA3"/>
    <w:rsid w:val="00FC2629"/>
    <w:rsid w:val="00FC3E09"/>
    <w:rsid w:val="00FD0C8C"/>
    <w:rsid w:val="00FD6FFA"/>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8C255C"/>
  <w15:docId w15:val="{66EC1ED5-7D17-2344-B64E-AC0918FF8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U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1239F"/>
    <w:rPr>
      <w:rFonts w:ascii="Verdana" w:eastAsia="Times New Roman" w:hAnsi="Verdana"/>
      <w:sz w:val="22"/>
      <w:szCs w:val="3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iPriority w:val="1"/>
    <w:semiHidden/>
    <w:unhideWhenUsed/>
  </w:style>
  <w:style w:type="paragraph" w:styleId="Sprechblasentext">
    <w:name w:val="Balloon Text"/>
    <w:basedOn w:val="Standard"/>
    <w:link w:val="SprechblasentextZchn"/>
    <w:uiPriority w:val="99"/>
    <w:semiHidden/>
    <w:unhideWhenUsed/>
    <w:rsid w:val="00417037"/>
    <w:rPr>
      <w:rFonts w:ascii="Lucida Grande" w:hAnsi="Lucida Grande" w:cs="Lucida Grande"/>
      <w:sz w:val="18"/>
      <w:szCs w:val="18"/>
    </w:rPr>
  </w:style>
  <w:style w:type="character" w:customStyle="1" w:styleId="SprechblasentextZchn">
    <w:name w:val="Sprechblasentext Zchn"/>
    <w:link w:val="Sprechblasentext"/>
    <w:uiPriority w:val="99"/>
    <w:semiHidden/>
    <w:rsid w:val="00417037"/>
    <w:rPr>
      <w:rFonts w:ascii="Lucida Grande" w:hAnsi="Lucida Grande" w:cs="Lucida Grande"/>
      <w:sz w:val="18"/>
      <w:szCs w:val="18"/>
    </w:rPr>
  </w:style>
  <w:style w:type="paragraph" w:styleId="Kopfzeile">
    <w:name w:val="header"/>
    <w:basedOn w:val="Standard"/>
    <w:link w:val="KopfzeileZchn"/>
    <w:uiPriority w:val="99"/>
    <w:unhideWhenUsed/>
    <w:rsid w:val="0051239F"/>
    <w:pPr>
      <w:tabs>
        <w:tab w:val="center" w:pos="4536"/>
        <w:tab w:val="right" w:pos="9072"/>
      </w:tabs>
    </w:pPr>
  </w:style>
  <w:style w:type="character" w:customStyle="1" w:styleId="KopfzeileZchn">
    <w:name w:val="Kopfzeile Zchn"/>
    <w:link w:val="Kopfzeile"/>
    <w:uiPriority w:val="99"/>
    <w:rsid w:val="0051239F"/>
    <w:rPr>
      <w:rFonts w:ascii="Arial" w:hAnsi="Arial"/>
      <w:sz w:val="22"/>
    </w:rPr>
  </w:style>
  <w:style w:type="paragraph" w:styleId="Fuzeile">
    <w:name w:val="footer"/>
    <w:basedOn w:val="Standard"/>
    <w:link w:val="FuzeileZchn"/>
    <w:uiPriority w:val="99"/>
    <w:unhideWhenUsed/>
    <w:rsid w:val="0051239F"/>
    <w:pPr>
      <w:tabs>
        <w:tab w:val="center" w:pos="4536"/>
        <w:tab w:val="right" w:pos="9072"/>
      </w:tabs>
    </w:pPr>
  </w:style>
  <w:style w:type="character" w:customStyle="1" w:styleId="FuzeileZchn">
    <w:name w:val="Fußzeile Zchn"/>
    <w:link w:val="Fuzeile"/>
    <w:uiPriority w:val="99"/>
    <w:rsid w:val="0051239F"/>
    <w:rPr>
      <w:rFonts w:ascii="Arial" w:hAnsi="Arial"/>
      <w:sz w:val="22"/>
    </w:rPr>
  </w:style>
  <w:style w:type="paragraph" w:styleId="Textkrper">
    <w:name w:val="Body Text"/>
    <w:basedOn w:val="Standard"/>
    <w:link w:val="TextkrperZchn"/>
    <w:rsid w:val="0051239F"/>
    <w:pPr>
      <w:ind w:right="2976"/>
      <w:jc w:val="both"/>
    </w:pPr>
    <w:rPr>
      <w:szCs w:val="20"/>
      <w:lang w:eastAsia="de-DE"/>
    </w:rPr>
  </w:style>
  <w:style w:type="character" w:customStyle="1" w:styleId="TextkrperZchn">
    <w:name w:val="Textkörper Zchn"/>
    <w:link w:val="Textkrper"/>
    <w:rsid w:val="0051239F"/>
    <w:rPr>
      <w:rFonts w:ascii="Arial" w:eastAsia="Times New Roman" w:hAnsi="Arial" w:cs="Times New Roman"/>
      <w:sz w:val="22"/>
      <w:szCs w:val="20"/>
      <w:lang w:eastAsia="de-DE"/>
    </w:rPr>
  </w:style>
  <w:style w:type="character" w:styleId="Hyperlink">
    <w:name w:val="Hyperlink"/>
    <w:rsid w:val="000D7652"/>
    <w:rPr>
      <w:rFonts w:ascii="Arial" w:hAnsi="Arial"/>
      <w:strike w:val="0"/>
      <w:dstrike w:val="0"/>
      <w:color w:val="0432FF"/>
      <w:sz w:val="22"/>
      <w:szCs w:val="17"/>
      <w:u w:val="single"/>
      <w:effect w:val="none"/>
    </w:rPr>
  </w:style>
  <w:style w:type="paragraph" w:styleId="Listenabsatz">
    <w:name w:val="List Paragraph"/>
    <w:basedOn w:val="Standard"/>
    <w:uiPriority w:val="34"/>
    <w:qFormat/>
    <w:rsid w:val="0051239F"/>
    <w:pPr>
      <w:ind w:left="720"/>
      <w:contextualSpacing/>
    </w:pPr>
    <w:rPr>
      <w:rFonts w:ascii="Cambria" w:eastAsia="Cambria" w:hAnsi="Cambria"/>
      <w:szCs w:val="22"/>
    </w:rPr>
  </w:style>
  <w:style w:type="character" w:styleId="NichtaufgelsteErwhnung">
    <w:name w:val="Unresolved Mention"/>
    <w:basedOn w:val="Absatz-Standardschriftart"/>
    <w:uiPriority w:val="99"/>
    <w:rsid w:val="0045419A"/>
    <w:rPr>
      <w:color w:val="605E5C"/>
      <w:shd w:val="clear" w:color="auto" w:fill="E1DFDD"/>
    </w:rPr>
  </w:style>
  <w:style w:type="character" w:styleId="BesuchterLink">
    <w:name w:val="FollowedHyperlink"/>
    <w:basedOn w:val="Absatz-Standardschriftart"/>
    <w:uiPriority w:val="99"/>
    <w:semiHidden/>
    <w:unhideWhenUsed/>
    <w:rsid w:val="00E76E52"/>
    <w:rPr>
      <w:color w:val="954F72" w:themeColor="followedHyperlink"/>
      <w:u w:val="single"/>
    </w:rPr>
  </w:style>
  <w:style w:type="character" w:styleId="Kommentarzeichen">
    <w:name w:val="annotation reference"/>
    <w:basedOn w:val="Absatz-Standardschriftart"/>
    <w:uiPriority w:val="99"/>
    <w:semiHidden/>
    <w:unhideWhenUsed/>
    <w:rsid w:val="00A7098A"/>
    <w:rPr>
      <w:sz w:val="16"/>
      <w:szCs w:val="16"/>
    </w:rPr>
  </w:style>
  <w:style w:type="paragraph" w:styleId="Kommentartext">
    <w:name w:val="annotation text"/>
    <w:basedOn w:val="Standard"/>
    <w:link w:val="KommentartextZchn"/>
    <w:uiPriority w:val="99"/>
    <w:unhideWhenUsed/>
    <w:rsid w:val="00A7098A"/>
    <w:rPr>
      <w:sz w:val="20"/>
      <w:szCs w:val="20"/>
    </w:rPr>
  </w:style>
  <w:style w:type="character" w:customStyle="1" w:styleId="KommentartextZchn">
    <w:name w:val="Kommentartext Zchn"/>
    <w:basedOn w:val="Absatz-Standardschriftart"/>
    <w:link w:val="Kommentartext"/>
    <w:uiPriority w:val="99"/>
    <w:rsid w:val="00A7098A"/>
    <w:rPr>
      <w:rFonts w:ascii="Verdana" w:eastAsia="Times New Roman" w:hAnsi="Verdana"/>
      <w:lang w:eastAsia="en-US"/>
    </w:rPr>
  </w:style>
  <w:style w:type="paragraph" w:styleId="Kommentarthema">
    <w:name w:val="annotation subject"/>
    <w:basedOn w:val="Kommentartext"/>
    <w:next w:val="Kommentartext"/>
    <w:link w:val="KommentarthemaZchn"/>
    <w:uiPriority w:val="99"/>
    <w:semiHidden/>
    <w:unhideWhenUsed/>
    <w:rsid w:val="00A7098A"/>
    <w:rPr>
      <w:b/>
      <w:bCs/>
    </w:rPr>
  </w:style>
  <w:style w:type="character" w:customStyle="1" w:styleId="KommentarthemaZchn">
    <w:name w:val="Kommentarthema Zchn"/>
    <w:basedOn w:val="KommentartextZchn"/>
    <w:link w:val="Kommentarthema"/>
    <w:uiPriority w:val="99"/>
    <w:semiHidden/>
    <w:rsid w:val="00A7098A"/>
    <w:rPr>
      <w:rFonts w:ascii="Verdana" w:eastAsia="Times New Roman" w:hAnsi="Verdana"/>
      <w:b/>
      <w:bCs/>
      <w:lang w:eastAsia="en-US"/>
    </w:rPr>
  </w:style>
  <w:style w:type="paragraph" w:styleId="berarbeitung">
    <w:name w:val="Revision"/>
    <w:hidden/>
    <w:uiPriority w:val="99"/>
    <w:semiHidden/>
    <w:rsid w:val="00C94C7B"/>
    <w:rPr>
      <w:rFonts w:ascii="Verdana" w:eastAsia="Times New Roman" w:hAnsi="Verdana"/>
      <w:sz w:val="2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22550">
      <w:bodyDiv w:val="1"/>
      <w:marLeft w:val="0"/>
      <w:marRight w:val="0"/>
      <w:marTop w:val="0"/>
      <w:marBottom w:val="0"/>
      <w:divBdr>
        <w:top w:val="none" w:sz="0" w:space="0" w:color="auto"/>
        <w:left w:val="none" w:sz="0" w:space="0" w:color="auto"/>
        <w:bottom w:val="none" w:sz="0" w:space="0" w:color="auto"/>
        <w:right w:val="none" w:sz="0" w:space="0" w:color="auto"/>
      </w:divBdr>
    </w:div>
    <w:div w:id="769130587">
      <w:bodyDiv w:val="1"/>
      <w:marLeft w:val="0"/>
      <w:marRight w:val="0"/>
      <w:marTop w:val="0"/>
      <w:marBottom w:val="0"/>
      <w:divBdr>
        <w:top w:val="none" w:sz="0" w:space="0" w:color="auto"/>
        <w:left w:val="none" w:sz="0" w:space="0" w:color="auto"/>
        <w:bottom w:val="none" w:sz="0" w:space="0" w:color="auto"/>
        <w:right w:val="none" w:sz="0" w:space="0" w:color="auto"/>
      </w:divBdr>
    </w:div>
    <w:div w:id="10355466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ctx.eu/en/products/heat-sinks/liquid-heat-sink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ctx.eu/en/products/heat-sinks/profile-heat-sink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tx.eu/en/products/heat-sinks" TargetMode="External"/><Relationship Id="rId5" Type="http://schemas.openxmlformats.org/officeDocument/2006/relationships/footnotes" Target="footnotes.xml"/><Relationship Id="rId15" Type="http://schemas.openxmlformats.org/officeDocument/2006/relationships/hyperlink" Target="https://www.koehler-partner.de/project/ctx-presseservice/" TargetMode="External"/><Relationship Id="rId10" Type="http://schemas.openxmlformats.org/officeDocument/2006/relationships/hyperlink" Target="https://www.padaengineering.com/en/index.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ctx.eu/en/" TargetMode="External"/><Relationship Id="rId14" Type="http://schemas.openxmlformats.org/officeDocument/2006/relationships/hyperlink" Target="https://www.linkedin.com/company/ctx-thermal-solu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986</Words>
  <Characters>6217</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Köhler + Partner</Company>
  <LinksUpToDate>false</LinksUpToDate>
  <CharactersWithSpaces>7189</CharactersWithSpaces>
  <SharedDoc>false</SharedDoc>
  <HLinks>
    <vt:vector size="12" baseType="variant">
      <vt:variant>
        <vt:i4>7208996</vt:i4>
      </vt:variant>
      <vt:variant>
        <vt:i4>3</vt:i4>
      </vt:variant>
      <vt:variant>
        <vt:i4>0</vt:i4>
      </vt:variant>
      <vt:variant>
        <vt:i4>5</vt:i4>
      </vt:variant>
      <vt:variant>
        <vt:lpwstr>http://www.koehler-partner.de/</vt:lpwstr>
      </vt:variant>
      <vt:variant>
        <vt:lpwstr/>
      </vt:variant>
      <vt:variant>
        <vt:i4>5767258</vt:i4>
      </vt:variant>
      <vt:variant>
        <vt:i4>0</vt:i4>
      </vt:variant>
      <vt:variant>
        <vt:i4>0</vt:i4>
      </vt:variant>
      <vt:variant>
        <vt:i4>5</vt:i4>
      </vt:variant>
      <vt:variant>
        <vt:lpwstr>http://www.koehler-partner.de/project/ctx-presseservice/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Saskia Hollatz</dc:creator>
  <cp:keywords/>
  <dc:description/>
  <cp:lastModifiedBy>Niklas Warneke</cp:lastModifiedBy>
  <cp:revision>6</cp:revision>
  <cp:lastPrinted>2024-02-21T10:45:00Z</cp:lastPrinted>
  <dcterms:created xsi:type="dcterms:W3CDTF">2024-03-19T13:23:00Z</dcterms:created>
  <dcterms:modified xsi:type="dcterms:W3CDTF">2024-03-19T14:29:00Z</dcterms:modified>
</cp:coreProperties>
</file>